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3D3E5" w14:textId="77777777" w:rsidR="0093775F" w:rsidRDefault="000E5EE8" w:rsidP="00F42EE3">
      <w:pPr>
        <w:spacing w:line="600" w:lineRule="exact"/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bookmarkStart w:id="0" w:name="EBda158ebef3e74de18f90e1256663ad17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石油化工管理干部</w:t>
      </w:r>
      <w:bookmarkEnd w:id="0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学院客房布草</w:t>
      </w:r>
    </w:p>
    <w:p w14:paraId="4BAE591B" w14:textId="5C45AD7C" w:rsidR="0093775F" w:rsidRDefault="0060204B" w:rsidP="00F42EE3">
      <w:pPr>
        <w:spacing w:line="600" w:lineRule="exact"/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洗涤服务项目</w:t>
      </w:r>
      <w:r w:rsidR="000E5EE8"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询价公告</w:t>
      </w:r>
    </w:p>
    <w:p w14:paraId="1FFCF614" w14:textId="77777777" w:rsidR="0093775F" w:rsidRDefault="0093775F">
      <w:pPr>
        <w:rPr>
          <w:szCs w:val="21"/>
          <w:shd w:val="clear" w:color="auto" w:fill="FFFFFF"/>
        </w:rPr>
      </w:pPr>
      <w:bookmarkStart w:id="1" w:name="_Toc256000001"/>
    </w:p>
    <w:p w14:paraId="3284F846" w14:textId="77777777" w:rsidR="00F42EE3" w:rsidRDefault="00F42EE3">
      <w:pPr>
        <w:rPr>
          <w:szCs w:val="21"/>
          <w:shd w:val="clear" w:color="auto" w:fill="FFFFFF"/>
        </w:rPr>
      </w:pPr>
      <w:bookmarkStart w:id="2" w:name="_GoBack"/>
      <w:bookmarkEnd w:id="2"/>
    </w:p>
    <w:bookmarkEnd w:id="1"/>
    <w:p w14:paraId="62705452" w14:textId="77777777" w:rsidR="0093775F" w:rsidRDefault="000E5EE8">
      <w:pPr>
        <w:pStyle w:val="a7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1. 询价条件</w:t>
      </w:r>
    </w:p>
    <w:p w14:paraId="6757BD82" w14:textId="77777777" w:rsidR="0093775F" w:rsidRDefault="000E5EE8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石油化工管理干部学院（以下简称学院）隶属于中国石油化工集团公司（以下简称集团公司），学院总部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座落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于北京市朝阳区立水桥，是集团公司党校、人才培训中心、继续项目教育中心、信息技术培训中心和远程教育中心六位一体的高级人才培训基地，具有培训、研究和咨询三大功能。</w:t>
      </w:r>
    </w:p>
    <w:p w14:paraId="147133AC" w14:textId="5C47F96C" w:rsidR="0093775F" w:rsidRDefault="000E5EE8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按照学院工作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安排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，近期拟对学员客房（700余间）布草、窗帘、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会议台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泥，校区餐厅台布的洗涤服务进行询价。学院立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水桥校区地址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为北京市朝阳区立水桥北甲1号，学院健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翔桥校区地址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为北京市朝阳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区安翔北里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11号院（分校区客房暂未使用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，使用后会有部分需求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）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，洗涤服务厂商根据甲方需求，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按时到两校区收取需洗涤布草、台布、窗帘等，能够按时将洗干净布草、台布送回两校区。</w:t>
      </w:r>
    </w:p>
    <w:p w14:paraId="565B89A8" w14:textId="77777777" w:rsidR="0093775F" w:rsidRDefault="000E5EE8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询价人为石油化工管理干部学院，相关资金来自企业自筹，石油化工管理干部学院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客房布草洗涤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服务项目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比价已具备询价条件，特邀请有意向的承包商参与询价。</w:t>
      </w:r>
    </w:p>
    <w:p w14:paraId="6E8D7FBD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3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 项目概况与询价范围</w:t>
      </w:r>
      <w:bookmarkEnd w:id="3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009843B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客房布草洗涤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服务项目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比价。</w:t>
      </w:r>
    </w:p>
    <w:p w14:paraId="6D231D73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40DE7A3E" w14:textId="4E93C3DE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询价范围：石油化工管理干部学院（两校区）布草、窗帘、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会议台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泥及学院餐厅台布等的洗涤服务。目前立水桥校区学员客房共计约700间</w:t>
      </w:r>
      <w:r w:rsidR="0060204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，正常使用；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分校区客房</w:t>
      </w:r>
      <w:r w:rsidR="0060204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（约1</w:t>
      </w:r>
      <w:r w:rsidR="0060204B">
        <w:rPr>
          <w:rFonts w:ascii="仿宋_GB2312" w:eastAsia="仿宋_GB2312"/>
          <w:b/>
          <w:sz w:val="24"/>
          <w:szCs w:val="32"/>
          <w:shd w:val="clear" w:color="auto" w:fill="FFFFFF"/>
        </w:rPr>
        <w:t>50间</w:t>
      </w:r>
      <w:r w:rsidR="0060204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暂未使用</w:t>
      </w:r>
      <w:r w:rsidR="0060204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，启用后会有部分需求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2469915C" w14:textId="20536F68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按规定格式提供报价明细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（一般情况下，约3</w:t>
      </w:r>
      <w:r w:rsidR="00F42EE3">
        <w:rPr>
          <w:rFonts w:ascii="仿宋_GB2312" w:eastAsia="仿宋_GB2312"/>
          <w:b/>
          <w:sz w:val="24"/>
          <w:szCs w:val="32"/>
          <w:shd w:val="clear" w:color="auto" w:fill="FFFFFF"/>
        </w:rPr>
        <w:t>0万元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/年）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75BF832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价，以固定单价（含税单价、价税合计）进行报价，按规定格式提供报价明细及单价组成。</w:t>
      </w:r>
    </w:p>
    <w:p w14:paraId="7EC7DB84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2.6 服务期限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本次合同期限两年，服务期满前2个月，若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双方无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异议，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可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根据学院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内控流程及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服务考核情况，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续签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一个合同期。</w:t>
      </w:r>
    </w:p>
    <w:p w14:paraId="10B8C449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4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3．报价人资格要求</w:t>
      </w:r>
      <w:bookmarkEnd w:id="4"/>
    </w:p>
    <w:p w14:paraId="24FB7FCE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 报价人应具备以下基本资格条件：</w:t>
      </w:r>
    </w:p>
    <w:p w14:paraId="3EE6B383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（1）在中华人民共和国境内注册的独立法人，经营范围需涵盖本询价项目业务范围；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CA3C09A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（2）只有在法律和财务上独立、合法运作并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独立于询价单位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的报价人才能参加报价；</w:t>
      </w:r>
    </w:p>
    <w:p w14:paraId="4C86605C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（3）财务状况良好，具有足够资产及能力并有效地履行合同。</w:t>
      </w:r>
    </w:p>
    <w:p w14:paraId="48A5EA26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</w:p>
    <w:p w14:paraId="1D63366D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本次询价资格审查方式：资格后审。</w:t>
      </w:r>
    </w:p>
    <w:p w14:paraId="63CEE9C0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天前书面通知询价人。</w:t>
      </w:r>
    </w:p>
    <w:p w14:paraId="4A13C5E0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5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4．询价文件及相关资料获取</w:t>
      </w:r>
      <w:bookmarkEnd w:id="5"/>
      <w:r>
        <w:rPr>
          <w:rFonts w:ascii="仿宋_GB2312" w:eastAsia="仿宋_GB2312" w:hAnsi="微软雅黑" w:hint="eastAsia"/>
          <w:b/>
          <w:sz w:val="24"/>
          <w:szCs w:val="32"/>
        </w:rPr>
        <w:t>（通过</w:t>
      </w:r>
      <w:r>
        <w:rPr>
          <w:rFonts w:ascii="仿宋_GB2312" w:eastAsia="仿宋_GB2312" w:hAnsi="微软雅黑"/>
          <w:b/>
          <w:sz w:val="24"/>
          <w:szCs w:val="32"/>
        </w:rPr>
        <w:t>询价人联系邮箱</w:t>
      </w:r>
      <w:r>
        <w:rPr>
          <w:rFonts w:ascii="仿宋_GB2312" w:eastAsia="仿宋_GB2312" w:hAnsi="微软雅黑" w:hint="eastAsia"/>
          <w:b/>
          <w:sz w:val="24"/>
          <w:szCs w:val="32"/>
        </w:rPr>
        <w:t>、电话</w:t>
      </w:r>
      <w:r>
        <w:rPr>
          <w:rFonts w:ascii="仿宋_GB2312" w:eastAsia="仿宋_GB2312" w:hAnsi="微软雅黑"/>
          <w:b/>
          <w:sz w:val="24"/>
          <w:szCs w:val="32"/>
        </w:rPr>
        <w:t>报名</w:t>
      </w:r>
      <w:r>
        <w:rPr>
          <w:rFonts w:ascii="仿宋_GB2312" w:eastAsia="仿宋_GB2312" w:hAnsi="微软雅黑" w:hint="eastAsia"/>
          <w:b/>
          <w:sz w:val="24"/>
          <w:szCs w:val="32"/>
        </w:rPr>
        <w:t>，未报名不可参加投标）</w:t>
      </w:r>
    </w:p>
    <w:p w14:paraId="723FA5F7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4.1 获取询价文件等相关资料时间：</w:t>
      </w:r>
    </w:p>
    <w:p w14:paraId="295F70EF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lastRenderedPageBreak/>
        <w:t>（1）获取开始时间：</w:t>
      </w:r>
      <w:bookmarkStart w:id="6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2026年4月29日</w:t>
      </w:r>
      <w:bookmarkEnd w:id="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7892DE3D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（2）获取截止时间：</w:t>
      </w:r>
      <w:bookmarkStart w:id="7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2026年5月8日</w:t>
      </w:r>
      <w:bookmarkEnd w:id="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66CE12E7" w14:textId="63327851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4.2 现场踏勘时间4.30、5.8。</w:t>
      </w:r>
    </w:p>
    <w:p w14:paraId="78B4331B" w14:textId="77777777" w:rsidR="0093775F" w:rsidRDefault="000E5EE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8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5．报价文件编制及递交</w:t>
      </w:r>
      <w:bookmarkEnd w:id="8"/>
    </w:p>
    <w:p w14:paraId="5F8BA61B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>要求进行编制。</w:t>
      </w:r>
    </w:p>
    <w:p w14:paraId="6911663B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5.2递交时间：报价文件请现场开标时递交。</w:t>
      </w:r>
    </w:p>
    <w:p w14:paraId="4D52FCB8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5.3报价截止时间：</w:t>
      </w:r>
      <w:bookmarkStart w:id="9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2026年5月11日</w:t>
      </w:r>
      <w:bookmarkEnd w:id="9"/>
      <w:r>
        <w:rPr>
          <w:rFonts w:ascii="仿宋_GB2312" w:eastAsia="仿宋_GB2312" w:hAnsi="微软雅黑" w:hint="eastAsia"/>
          <w:b/>
          <w:sz w:val="24"/>
          <w:szCs w:val="32"/>
        </w:rPr>
        <w:t>9:00。</w:t>
      </w:r>
    </w:p>
    <w:p w14:paraId="1A5A059C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5.4递交方式：根据甲方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538545F1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10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6．开标</w:t>
      </w:r>
      <w:bookmarkEnd w:id="10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3FB46E4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6.1开标时间：</w:t>
      </w:r>
      <w:r>
        <w:rPr>
          <w:rFonts w:ascii="仿宋_GB2312" w:eastAsia="仿宋_GB2312" w:hAnsi="微软雅黑" w:hint="eastAsia"/>
          <w:b/>
          <w:sz w:val="24"/>
          <w:szCs w:val="32"/>
        </w:rPr>
        <w:t>2026年5月11日9:00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43D85AE4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11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1号。</w:t>
      </w:r>
    </w:p>
    <w:p w14:paraId="58814796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12" w:name="_Toc256000007"/>
      <w:bookmarkStart w:id="13" w:name="_Toc81547778"/>
      <w:bookmarkStart w:id="14" w:name="_Toc80970331"/>
      <w:bookmarkEnd w:id="12"/>
      <w:bookmarkEnd w:id="1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7．其他</w:t>
      </w:r>
      <w:bookmarkEnd w:id="14"/>
    </w:p>
    <w:p w14:paraId="335FBDEC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15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</w:p>
    <w:p w14:paraId="2F8AA99C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</w:p>
    <w:p w14:paraId="0FACAA3F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16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8．询价人</w:t>
      </w:r>
      <w:bookmarkEnd w:id="16"/>
    </w:p>
    <w:p w14:paraId="6500624D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17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1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B621904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18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北京市朝阳区立水桥北甲1号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232FA81B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19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1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619CDEE" w14:textId="6466C1BA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</w:t>
      </w:r>
      <w:r w:rsidR="00F42EE3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崔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老师；</w:t>
      </w:r>
    </w:p>
    <w:p w14:paraId="53DF7AE3" w14:textId="7AB8DCAE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 w:rsidR="00F42EE3">
        <w:rPr>
          <w:rFonts w:ascii="仿宋_GB2312" w:eastAsia="仿宋_GB2312"/>
          <w:b/>
          <w:sz w:val="24"/>
          <w:szCs w:val="32"/>
          <w:shd w:val="clear" w:color="auto" w:fill="FFFFFF"/>
        </w:rPr>
        <w:t>5810899992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、010-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19</w:t>
      </w:r>
      <w:bookmarkEnd w:id="20"/>
      <w:r w:rsidR="00F42EE3">
        <w:rPr>
          <w:rFonts w:ascii="仿宋_GB2312" w:eastAsia="仿宋_GB2312"/>
          <w:b/>
          <w:sz w:val="24"/>
          <w:szCs w:val="32"/>
          <w:shd w:val="clear" w:color="auto" w:fill="FFFFFF"/>
        </w:rPr>
        <w:t>05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359629F0" w14:textId="1FE86C06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 w:rsidR="00F42EE3">
        <w:rPr>
          <w:rFonts w:ascii="仿宋_GB2312" w:eastAsia="仿宋_GB2312"/>
          <w:b/>
          <w:sz w:val="24"/>
          <w:szCs w:val="32"/>
          <w:shd w:val="clear" w:color="auto" w:fill="FFFFFF"/>
        </w:rPr>
        <w:t>cuij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.glgy@sinopec.com</w:t>
      </w:r>
      <w:bookmarkEnd w:id="2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093E5DB4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6D863B8" w14:textId="77777777" w:rsidR="0093775F" w:rsidRDefault="000E5EE8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本公告发布期限：2026.4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29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8。</w:t>
      </w:r>
    </w:p>
    <w:p w14:paraId="3E651E48" w14:textId="77777777" w:rsidR="0093775F" w:rsidRDefault="0093775F">
      <w:pPr>
        <w:rPr>
          <w:rFonts w:ascii="仿宋_GB2312" w:eastAsia="仿宋_GB2312"/>
          <w:sz w:val="24"/>
          <w:szCs w:val="32"/>
        </w:rPr>
      </w:pPr>
    </w:p>
    <w:sectPr w:rsidR="0093775F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D0140" w14:textId="77777777" w:rsidR="00740D00" w:rsidRDefault="00740D00">
      <w:r>
        <w:separator/>
      </w:r>
    </w:p>
  </w:endnote>
  <w:endnote w:type="continuationSeparator" w:id="0">
    <w:p w14:paraId="1BF20125" w14:textId="77777777" w:rsidR="00740D00" w:rsidRDefault="007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A19A" w14:textId="77777777" w:rsidR="00740D00" w:rsidRDefault="00740D00">
      <w:r>
        <w:separator/>
      </w:r>
    </w:p>
  </w:footnote>
  <w:footnote w:type="continuationSeparator" w:id="0">
    <w:p w14:paraId="093AC390" w14:textId="77777777" w:rsidR="00740D00" w:rsidRDefault="0074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E5EC" w14:textId="77777777" w:rsidR="0093775F" w:rsidRDefault="0093775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48723" w14:textId="77777777" w:rsidR="0093775F" w:rsidRDefault="0093775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C20B1"/>
    <w:rsid w:val="000D572D"/>
    <w:rsid w:val="000E5EE8"/>
    <w:rsid w:val="00120A3A"/>
    <w:rsid w:val="001335D5"/>
    <w:rsid w:val="001501EB"/>
    <w:rsid w:val="001766F5"/>
    <w:rsid w:val="00193CD2"/>
    <w:rsid w:val="001E34A3"/>
    <w:rsid w:val="00211E3F"/>
    <w:rsid w:val="00223A4F"/>
    <w:rsid w:val="00247F4E"/>
    <w:rsid w:val="0026589C"/>
    <w:rsid w:val="003572BB"/>
    <w:rsid w:val="003C43BF"/>
    <w:rsid w:val="0041708D"/>
    <w:rsid w:val="00442870"/>
    <w:rsid w:val="004944E2"/>
    <w:rsid w:val="004967CC"/>
    <w:rsid w:val="00555E12"/>
    <w:rsid w:val="00587889"/>
    <w:rsid w:val="0060204B"/>
    <w:rsid w:val="006027A7"/>
    <w:rsid w:val="006255DE"/>
    <w:rsid w:val="006521E7"/>
    <w:rsid w:val="00667ADE"/>
    <w:rsid w:val="006B0DF8"/>
    <w:rsid w:val="006B177A"/>
    <w:rsid w:val="007356D2"/>
    <w:rsid w:val="00740D00"/>
    <w:rsid w:val="00770A5A"/>
    <w:rsid w:val="007738D2"/>
    <w:rsid w:val="0077460E"/>
    <w:rsid w:val="007E3C7E"/>
    <w:rsid w:val="00881FA1"/>
    <w:rsid w:val="008C0BEF"/>
    <w:rsid w:val="008C2D0F"/>
    <w:rsid w:val="0093775F"/>
    <w:rsid w:val="00974092"/>
    <w:rsid w:val="00A0511A"/>
    <w:rsid w:val="00A072A5"/>
    <w:rsid w:val="00A45608"/>
    <w:rsid w:val="00AD57A4"/>
    <w:rsid w:val="00AD7E55"/>
    <w:rsid w:val="00B6784C"/>
    <w:rsid w:val="00B76532"/>
    <w:rsid w:val="00BC282F"/>
    <w:rsid w:val="00BF37C9"/>
    <w:rsid w:val="00C12AF3"/>
    <w:rsid w:val="00C62667"/>
    <w:rsid w:val="00CB2A1A"/>
    <w:rsid w:val="00CB736D"/>
    <w:rsid w:val="00DD1B27"/>
    <w:rsid w:val="00DE4248"/>
    <w:rsid w:val="00E13F07"/>
    <w:rsid w:val="00E77D64"/>
    <w:rsid w:val="00EC4005"/>
    <w:rsid w:val="00ED3034"/>
    <w:rsid w:val="00EF5A3C"/>
    <w:rsid w:val="00F252B6"/>
    <w:rsid w:val="00F41C69"/>
    <w:rsid w:val="00F42EE3"/>
    <w:rsid w:val="00F90E4D"/>
    <w:rsid w:val="00FD1480"/>
    <w:rsid w:val="00FD57A3"/>
    <w:rsid w:val="0F347927"/>
    <w:rsid w:val="11561E28"/>
    <w:rsid w:val="17101665"/>
    <w:rsid w:val="179A674C"/>
    <w:rsid w:val="30677EB2"/>
    <w:rsid w:val="31247C60"/>
    <w:rsid w:val="3A363105"/>
    <w:rsid w:val="40EC5914"/>
    <w:rsid w:val="440505D8"/>
    <w:rsid w:val="4DFC64F2"/>
    <w:rsid w:val="51B95400"/>
    <w:rsid w:val="564707C7"/>
    <w:rsid w:val="56566904"/>
    <w:rsid w:val="5DD67ABE"/>
    <w:rsid w:val="6CEA0003"/>
    <w:rsid w:val="6D4726DF"/>
    <w:rsid w:val="70EA6B26"/>
    <w:rsid w:val="7C0C36FA"/>
    <w:rsid w:val="7C4A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D90B9-31BE-406C-8DA1-FEE17F41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9A7FD-6B08-436A-88E6-B3870FD92E86}"/>
</file>

<file path=customXml/itemProps2.xml><?xml version="1.0" encoding="utf-8"?>
<ds:datastoreItem xmlns:ds="http://schemas.openxmlformats.org/officeDocument/2006/customXml" ds:itemID="{E9737D5A-2ACC-481E-9E12-1A953CC6CF19}"/>
</file>

<file path=customXml/itemProps3.xml><?xml version="1.0" encoding="utf-8"?>
<ds:datastoreItem xmlns:ds="http://schemas.openxmlformats.org/officeDocument/2006/customXml" ds:itemID="{61CA7DDA-3D99-4145-B49A-0F0585BE6240}"/>
</file>

<file path=customXml/itemProps4.xml><?xml version="1.0" encoding="utf-8"?>
<ds:datastoreItem xmlns:ds="http://schemas.openxmlformats.org/officeDocument/2006/customXml" ds:itemID="{DC1D593B-1AB1-45E7-913A-57CF39E25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1257</Characters>
  <Application>Microsoft Office Word</Application>
  <DocSecurity>0</DocSecurity>
  <Lines>10</Lines>
  <Paragraphs>2</Paragraphs>
  <ScaleCrop>false</ScaleCrop>
  <Company>Sinopec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陈红艳（行政）</cp:lastModifiedBy>
  <cp:revision>43</cp:revision>
  <dcterms:created xsi:type="dcterms:W3CDTF">2022-05-18T07:05:00Z</dcterms:created>
  <dcterms:modified xsi:type="dcterms:W3CDTF">2026-04-29T07:20:00Z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A3B7359E193146C2BDCED7FCCACFFCA1</vt:lpwstr>
  </property>
  <property fmtid="{D5CDD505-2E9C-101B-9397-08002B2CF9AE}" pid="4" name="ContentTypeId">
    <vt:lpwstr>0x010100255124756D5EAA40BA9C63BB3DFACBF3</vt:lpwstr>
  </property>
</Properties>
</file>