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A9BE7A">
      <w:pPr>
        <w:rPr>
          <w:rFonts w:hint="eastAsia" w:eastAsia="宋体"/>
          <w:color w:val="auto"/>
          <w:lang w:eastAsia="zh-CN"/>
        </w:rPr>
      </w:pPr>
    </w:p>
    <w:p w14:paraId="63482EAB">
      <w:pPr>
        <w:rPr>
          <w:color w:val="auto"/>
        </w:rPr>
      </w:pPr>
    </w:p>
    <w:p w14:paraId="32615EA4">
      <w:pPr>
        <w:rPr>
          <w:color w:val="auto"/>
        </w:rPr>
      </w:pPr>
    </w:p>
    <w:p w14:paraId="4BDF9A74">
      <w:pPr>
        <w:rPr>
          <w:color w:val="auto"/>
        </w:rPr>
      </w:pPr>
    </w:p>
    <w:p w14:paraId="62854B9D">
      <w:pPr>
        <w:rPr>
          <w:color w:val="auto"/>
        </w:rPr>
      </w:pPr>
    </w:p>
    <w:p w14:paraId="1249B5D0">
      <w:pPr>
        <w:rPr>
          <w:color w:val="auto"/>
        </w:rPr>
      </w:pPr>
    </w:p>
    <w:p w14:paraId="6D509785">
      <w:pPr>
        <w:rPr>
          <w:color w:val="auto"/>
        </w:rPr>
      </w:pPr>
    </w:p>
    <w:p w14:paraId="79B3EBCD">
      <w:pPr>
        <w:tabs>
          <w:tab w:val="left" w:pos="7380"/>
        </w:tabs>
        <w:rPr>
          <w:color w:val="auto"/>
        </w:rPr>
      </w:pPr>
    </w:p>
    <w:p w14:paraId="462EB0EF">
      <w:pPr>
        <w:jc w:val="center"/>
        <w:rPr>
          <w:color w:val="auto"/>
        </w:rPr>
      </w:pPr>
    </w:p>
    <w:p w14:paraId="0C0DF382">
      <w:pPr>
        <w:jc w:val="cente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0</wp:posOffset>
                </wp:positionV>
                <wp:extent cx="3886200" cy="0"/>
                <wp:effectExtent l="0" t="28575" r="0" b="2857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57150" cmpd="thinThick">
                          <a:solidFill>
                            <a:srgbClr val="000000"/>
                          </a:solidFill>
                          <a:round/>
                        </a:ln>
                        <a:effectLst/>
                      </wps:spPr>
                      <wps:bodyPr/>
                    </wps:wsp>
                  </a:graphicData>
                </a:graphic>
              </wp:anchor>
            </w:drawing>
          </mc:Choice>
          <mc:Fallback>
            <w:pict>
              <v:line id="Line 3" o:spid="_x0000_s1026" o:spt="20" style="position:absolute;left:0pt;margin-left:63pt;margin-top:0pt;height:0pt;width:306pt;z-index:251660288;mso-width-relative:page;mso-height-relative:page;" filled="f" stroked="t" coordsize="21600,21600" o:gfxdata="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lSNpdYAAAAFAQAADwAAAAAAAAAB&#10;ACAAAAAiAAAAZHJzL2Rvd25yZXYueG1sUEsBAhQAFAAAAAgAh07iQKgL5AjZAQAAvwMAAA4AAAAA&#10;AAAAAQAgAAAAJQEAAGRycy9lMm9Eb2MueG1sUEsFBgAAAAAGAAYAWQEAAHAFAAAAAA==&#10;">
                <v:fill on="f" focussize="0,0"/>
                <v:stroke weight="4.5pt" color="#000000" linestyle="thinThick" joinstyle="round"/>
                <v:imagedata o:title=""/>
                <o:lock v:ext="edit" aspectratio="f"/>
              </v:line>
            </w:pict>
          </mc:Fallback>
        </mc:AlternateContent>
      </w:r>
    </w:p>
    <w:p w14:paraId="2D26BBD4">
      <w:pPr>
        <w:jc w:val="center"/>
        <w:rPr>
          <w:b/>
          <w:bCs/>
          <w:color w:val="auto"/>
        </w:rPr>
      </w:pPr>
    </w:p>
    <w:p w14:paraId="5C289570">
      <w:pPr>
        <w:tabs>
          <w:tab w:val="left" w:pos="1260"/>
        </w:tabs>
        <w:jc w:val="center"/>
        <w:rPr>
          <w:b/>
          <w:bCs/>
          <w:color w:val="auto"/>
          <w:sz w:val="72"/>
        </w:rPr>
      </w:pPr>
      <w:r>
        <w:rPr>
          <w:rFonts w:hint="eastAsia"/>
          <w:b/>
          <w:bCs/>
          <w:color w:val="auto"/>
          <w:sz w:val="72"/>
        </w:rPr>
        <w:t>询</w:t>
      </w:r>
      <w:r>
        <w:rPr>
          <w:b/>
          <w:bCs/>
          <w:color w:val="auto"/>
          <w:sz w:val="72"/>
        </w:rPr>
        <w:t xml:space="preserve"> </w:t>
      </w:r>
      <w:r>
        <w:rPr>
          <w:rFonts w:hint="eastAsia"/>
          <w:b/>
          <w:bCs/>
          <w:color w:val="auto"/>
          <w:sz w:val="72"/>
        </w:rPr>
        <w:t>价</w:t>
      </w:r>
      <w:r>
        <w:rPr>
          <w:b/>
          <w:bCs/>
          <w:color w:val="auto"/>
          <w:sz w:val="72"/>
        </w:rPr>
        <w:t xml:space="preserve"> </w:t>
      </w:r>
      <w:r>
        <w:rPr>
          <w:rFonts w:hint="eastAsia"/>
          <w:b/>
          <w:bCs/>
          <w:color w:val="auto"/>
          <w:sz w:val="72"/>
        </w:rPr>
        <w:t>通 知 书</w:t>
      </w:r>
    </w:p>
    <w:p w14:paraId="2596C40A">
      <w:pPr>
        <w:jc w:val="center"/>
        <w:rPr>
          <w:b/>
          <w:bCs/>
          <w:color w:val="auto"/>
          <w:sz w:val="48"/>
        </w:rPr>
      </w:pPr>
      <w:r>
        <w:rPr>
          <w:color w:val="auto"/>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299085</wp:posOffset>
                </wp:positionV>
                <wp:extent cx="3886200" cy="0"/>
                <wp:effectExtent l="0" t="28575" r="0" b="28575"/>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57150" cmpd="thinThick">
                          <a:solidFill>
                            <a:srgbClr val="000000"/>
                          </a:solidFill>
                          <a:round/>
                        </a:ln>
                        <a:effectLst/>
                      </wps:spPr>
                      <wps:bodyPr/>
                    </wps:wsp>
                  </a:graphicData>
                </a:graphic>
              </wp:anchor>
            </w:drawing>
          </mc:Choice>
          <mc:Fallback>
            <w:pict>
              <v:line id="Line 4" o:spid="_x0000_s1026" o:spt="20" style="position:absolute;left:0pt;margin-left:63pt;margin-top:23.55pt;height:0pt;width:306pt;z-index:251661312;mso-width-relative:page;mso-height-relative:page;" filled="f" stroked="t" coordsize="21600,21600" o:gfxdata="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oKJYdgAAAAJAQAADwAAAAAA&#10;AAABACAAAAAiAAAAZHJzL2Rvd25yZXYueG1sUEsBAhQAFAAAAAgAh07iQKihEkTaAQAAvwMAAA4A&#10;AAAAAAAAAQAgAAAAJwEAAGRycy9lMm9Eb2MueG1sUEsFBgAAAAAGAAYAWQEAAHMFAAAAAA==&#10;">
                <v:fill on="f" focussize="0,0"/>
                <v:stroke weight="4.5pt" color="#000000" linestyle="thinThick" joinstyle="round"/>
                <v:imagedata o:title=""/>
                <o:lock v:ext="edit" aspectratio="f"/>
              </v:line>
            </w:pict>
          </mc:Fallback>
        </mc:AlternateContent>
      </w:r>
    </w:p>
    <w:p w14:paraId="14375D46">
      <w:pPr>
        <w:jc w:val="center"/>
        <w:rPr>
          <w:b/>
          <w:bCs/>
          <w:color w:val="auto"/>
          <w:u w:val="single"/>
        </w:rPr>
      </w:pPr>
    </w:p>
    <w:p w14:paraId="67E0345F">
      <w:pPr>
        <w:jc w:val="center"/>
        <w:rPr>
          <w:color w:val="auto"/>
        </w:rPr>
      </w:pPr>
    </w:p>
    <w:p w14:paraId="73E40088">
      <w:pPr>
        <w:jc w:val="center"/>
        <w:rPr>
          <w:color w:val="auto"/>
        </w:rPr>
      </w:pPr>
    </w:p>
    <w:p w14:paraId="54FC19C8">
      <w:pPr>
        <w:jc w:val="center"/>
        <w:rPr>
          <w:color w:val="auto"/>
        </w:rPr>
      </w:pPr>
    </w:p>
    <w:p w14:paraId="6E49BD9C">
      <w:pPr>
        <w:jc w:val="center"/>
        <w:rPr>
          <w:color w:val="auto"/>
        </w:rPr>
      </w:pPr>
    </w:p>
    <w:p w14:paraId="71542C85">
      <w:pPr>
        <w:jc w:val="center"/>
        <w:rPr>
          <w:color w:val="auto"/>
        </w:rPr>
      </w:pPr>
    </w:p>
    <w:p w14:paraId="5B4C3B9D">
      <w:pPr>
        <w:jc w:val="center"/>
        <w:rPr>
          <w:color w:val="auto"/>
        </w:rPr>
      </w:pPr>
    </w:p>
    <w:p w14:paraId="56C74D56">
      <w:pPr>
        <w:jc w:val="center"/>
        <w:rPr>
          <w:color w:val="auto"/>
        </w:rPr>
      </w:pPr>
    </w:p>
    <w:p w14:paraId="5A858F24">
      <w:pPr>
        <w:jc w:val="center"/>
        <w:rPr>
          <w:b/>
          <w:bCs/>
          <w:color w:val="auto"/>
          <w:sz w:val="28"/>
          <w:u w:val="thick"/>
        </w:rPr>
      </w:pPr>
      <w:r>
        <w:rPr>
          <w:rFonts w:hint="eastAsia"/>
          <w:b/>
          <w:bCs/>
          <w:color w:val="auto"/>
          <w:sz w:val="28"/>
          <w:u w:val="thick"/>
        </w:rPr>
        <w:t>询</w:t>
      </w:r>
      <w:r>
        <w:rPr>
          <w:b/>
          <w:bCs/>
          <w:color w:val="auto"/>
          <w:sz w:val="28"/>
          <w:u w:val="thick"/>
        </w:rPr>
        <w:t xml:space="preserve"> </w:t>
      </w:r>
      <w:r>
        <w:rPr>
          <w:rFonts w:hint="eastAsia"/>
          <w:b/>
          <w:bCs/>
          <w:color w:val="auto"/>
          <w:sz w:val="28"/>
          <w:u w:val="thick"/>
        </w:rPr>
        <w:t>价</w:t>
      </w:r>
      <w:r>
        <w:rPr>
          <w:b/>
          <w:bCs/>
          <w:color w:val="auto"/>
          <w:sz w:val="28"/>
          <w:u w:val="thick"/>
        </w:rPr>
        <w:t xml:space="preserve"> </w:t>
      </w:r>
      <w:r>
        <w:rPr>
          <w:rFonts w:hint="eastAsia"/>
          <w:b/>
          <w:bCs/>
          <w:color w:val="auto"/>
          <w:sz w:val="28"/>
          <w:u w:val="thick"/>
        </w:rPr>
        <w:t>人：石油化工管理干部学院</w:t>
      </w:r>
    </w:p>
    <w:p w14:paraId="2A5014E0">
      <w:pPr>
        <w:jc w:val="left"/>
        <w:rPr>
          <w:b/>
          <w:bCs/>
          <w:color w:val="auto"/>
          <w:sz w:val="28"/>
          <w:u w:val="single"/>
        </w:rPr>
      </w:pPr>
    </w:p>
    <w:p w14:paraId="20A3D00B">
      <w:pPr>
        <w:jc w:val="left"/>
        <w:rPr>
          <w:b/>
          <w:bCs/>
          <w:color w:val="auto"/>
          <w:sz w:val="28"/>
          <w:u w:val="single"/>
        </w:rPr>
      </w:pPr>
    </w:p>
    <w:p w14:paraId="6C083BD1">
      <w:pPr>
        <w:jc w:val="left"/>
        <w:rPr>
          <w:b/>
          <w:bCs/>
          <w:color w:val="auto"/>
          <w:sz w:val="28"/>
          <w:u w:val="single"/>
        </w:rPr>
      </w:pPr>
    </w:p>
    <w:p w14:paraId="4960D4A8">
      <w:pPr>
        <w:jc w:val="left"/>
        <w:rPr>
          <w:b/>
          <w:bCs/>
          <w:color w:val="auto"/>
          <w:sz w:val="28"/>
          <w:u w:val="single"/>
        </w:rPr>
      </w:pPr>
    </w:p>
    <w:p w14:paraId="04EF24B5">
      <w:pPr>
        <w:jc w:val="center"/>
        <w:rPr>
          <w:rFonts w:eastAsia="仿宋_GB2312"/>
          <w:color w:val="auto"/>
          <w:sz w:val="32"/>
        </w:rPr>
      </w:pPr>
      <w:r>
        <w:rPr>
          <w:rFonts w:hint="eastAsia" w:eastAsia="仿宋_GB2312"/>
          <w:color w:val="auto"/>
          <w:sz w:val="32"/>
        </w:rPr>
        <w:t>石油化工管理干部学院</w:t>
      </w:r>
    </w:p>
    <w:p w14:paraId="5367E1F5">
      <w:pPr>
        <w:jc w:val="center"/>
        <w:rPr>
          <w:rFonts w:eastAsia="仿宋_GB2312"/>
          <w:color w:val="auto"/>
          <w:sz w:val="32"/>
        </w:rPr>
      </w:pPr>
      <w:r>
        <w:rPr>
          <w:rFonts w:hint="eastAsia" w:eastAsia="仿宋_GB2312"/>
          <w:color w:val="auto"/>
          <w:sz w:val="32"/>
        </w:rPr>
        <w:t>后勤服务中心</w:t>
      </w:r>
    </w:p>
    <w:p w14:paraId="4BDF3BE4">
      <w:pPr>
        <w:jc w:val="center"/>
        <w:rPr>
          <w:rFonts w:eastAsia="仿宋_GB2312"/>
          <w:color w:val="auto"/>
          <w:sz w:val="32"/>
        </w:rPr>
      </w:pPr>
      <w:r>
        <w:rPr>
          <w:rFonts w:hint="eastAsia" w:eastAsia="仿宋_GB2312"/>
          <w:color w:val="auto"/>
          <w:sz w:val="32"/>
        </w:rPr>
        <w:t>二</w:t>
      </w:r>
      <w:r>
        <w:rPr>
          <w:rFonts w:hint="eastAsia" w:ascii="宋体" w:hAnsi="宋体" w:cs="宋体"/>
          <w:color w:val="auto"/>
          <w:sz w:val="32"/>
        </w:rPr>
        <w:t>〇二</w:t>
      </w:r>
      <w:r>
        <w:rPr>
          <w:rFonts w:hint="eastAsia" w:ascii="宋体" w:hAnsi="宋体" w:cs="宋体"/>
          <w:color w:val="auto"/>
          <w:sz w:val="32"/>
          <w:lang w:eastAsia="zh-CN"/>
        </w:rPr>
        <w:t>五</w:t>
      </w:r>
      <w:r>
        <w:rPr>
          <w:rFonts w:hint="eastAsia" w:ascii="仿宋_GB2312" w:hAnsi="仿宋_GB2312" w:eastAsia="仿宋_GB2312" w:cs="仿宋_GB2312"/>
          <w:color w:val="auto"/>
          <w:sz w:val="32"/>
        </w:rPr>
        <w:t>年七月</w:t>
      </w:r>
    </w:p>
    <w:p w14:paraId="1DB820B8">
      <w:pPr>
        <w:jc w:val="center"/>
        <w:rPr>
          <w:rFonts w:eastAsia="仿宋_GB2312"/>
          <w:color w:val="auto"/>
          <w:sz w:val="32"/>
        </w:rPr>
      </w:pPr>
    </w:p>
    <w:p w14:paraId="1C9B5062">
      <w:pPr>
        <w:pStyle w:val="4"/>
        <w:adjustRightInd w:val="0"/>
        <w:spacing w:line="240" w:lineRule="auto"/>
        <w:jc w:val="center"/>
        <w:textAlignment w:val="baseline"/>
        <w:rPr>
          <w:color w:val="auto"/>
        </w:rPr>
      </w:pPr>
      <w:bookmarkStart w:id="0" w:name="_Toc300551657"/>
      <w:r>
        <w:rPr>
          <w:rFonts w:hint="eastAsia" w:ascii="宋体" w:hAnsi="宋体"/>
          <w:bCs w:val="0"/>
          <w:color w:val="auto"/>
        </w:rPr>
        <w:t>第</w:t>
      </w:r>
      <w:r>
        <w:rPr>
          <w:rFonts w:hint="eastAsia" w:ascii="宋体" w:hAnsi="宋体"/>
          <w:color w:val="auto"/>
        </w:rPr>
        <w:t>一节 报价</w:t>
      </w:r>
      <w:r>
        <w:rPr>
          <w:rFonts w:hint="eastAsia"/>
          <w:color w:val="auto"/>
        </w:rPr>
        <w:t>须知前附表</w:t>
      </w:r>
      <w:bookmarkEnd w:id="0"/>
    </w:p>
    <w:tbl>
      <w:tblPr>
        <w:tblStyle w:val="17"/>
        <w:tblW w:w="94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2115"/>
        <w:gridCol w:w="6717"/>
      </w:tblGrid>
      <w:tr w14:paraId="6AD10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E640572">
            <w:pPr>
              <w:ind w:right="-358"/>
              <w:rPr>
                <w:color w:val="auto"/>
              </w:rPr>
            </w:pPr>
            <w:r>
              <w:rPr>
                <w:color w:val="auto"/>
              </w:rPr>
              <w:t>项号</w:t>
            </w:r>
          </w:p>
        </w:tc>
        <w:tc>
          <w:tcPr>
            <w:tcW w:w="2115" w:type="dxa"/>
            <w:tcBorders>
              <w:top w:val="single" w:color="auto" w:sz="4" w:space="0"/>
              <w:left w:val="single" w:color="auto" w:sz="4" w:space="0"/>
              <w:bottom w:val="single" w:color="auto" w:sz="4" w:space="0"/>
              <w:right w:val="single" w:color="auto" w:sz="4" w:space="0"/>
            </w:tcBorders>
            <w:vAlign w:val="center"/>
          </w:tcPr>
          <w:p w14:paraId="61308408">
            <w:pPr>
              <w:jc w:val="center"/>
              <w:rPr>
                <w:rFonts w:ascii="宋体" w:hAnsi="宋体"/>
                <w:color w:val="auto"/>
              </w:rPr>
            </w:pPr>
            <w:r>
              <w:rPr>
                <w:rFonts w:ascii="宋体" w:hAnsi="宋体"/>
                <w:color w:val="auto"/>
              </w:rPr>
              <w:t>内    容</w:t>
            </w:r>
          </w:p>
        </w:tc>
        <w:tc>
          <w:tcPr>
            <w:tcW w:w="6717" w:type="dxa"/>
            <w:tcBorders>
              <w:top w:val="single" w:color="auto" w:sz="4" w:space="0"/>
              <w:left w:val="single" w:color="auto" w:sz="4" w:space="0"/>
              <w:bottom w:val="single" w:color="auto" w:sz="4" w:space="0"/>
              <w:right w:val="single" w:color="auto" w:sz="4" w:space="0"/>
            </w:tcBorders>
            <w:vAlign w:val="center"/>
          </w:tcPr>
          <w:p w14:paraId="3B7125AD">
            <w:pPr>
              <w:tabs>
                <w:tab w:val="left" w:pos="1180"/>
              </w:tabs>
              <w:jc w:val="center"/>
              <w:rPr>
                <w:color w:val="auto"/>
              </w:rPr>
            </w:pPr>
            <w:r>
              <w:rPr>
                <w:color w:val="auto"/>
              </w:rPr>
              <w:t>说明与要求</w:t>
            </w:r>
          </w:p>
        </w:tc>
      </w:tr>
      <w:tr w14:paraId="00D67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B4A9602">
            <w:pPr>
              <w:jc w:val="center"/>
              <w:rPr>
                <w:color w:val="auto"/>
              </w:rPr>
            </w:pPr>
            <w:r>
              <w:rPr>
                <w:color w:val="auto"/>
              </w:rPr>
              <w:t>1</w:t>
            </w:r>
          </w:p>
        </w:tc>
        <w:tc>
          <w:tcPr>
            <w:tcW w:w="2115" w:type="dxa"/>
            <w:tcBorders>
              <w:top w:val="single" w:color="auto" w:sz="4" w:space="0"/>
              <w:left w:val="single" w:color="auto" w:sz="4" w:space="0"/>
              <w:bottom w:val="single" w:color="auto" w:sz="4" w:space="0"/>
              <w:right w:val="single" w:color="auto" w:sz="4" w:space="0"/>
            </w:tcBorders>
            <w:vAlign w:val="center"/>
          </w:tcPr>
          <w:p w14:paraId="32BDDC8C">
            <w:pPr>
              <w:jc w:val="center"/>
              <w:rPr>
                <w:rFonts w:ascii="宋体" w:hAnsi="宋体"/>
                <w:color w:val="auto"/>
              </w:rPr>
            </w:pPr>
            <w:r>
              <w:rPr>
                <w:rFonts w:ascii="宋体" w:hAnsi="宋体"/>
                <w:color w:val="auto"/>
              </w:rPr>
              <w:t>项目名称</w:t>
            </w:r>
          </w:p>
        </w:tc>
        <w:tc>
          <w:tcPr>
            <w:tcW w:w="6717" w:type="dxa"/>
            <w:tcBorders>
              <w:top w:val="single" w:color="auto" w:sz="4" w:space="0"/>
              <w:left w:val="single" w:color="auto" w:sz="4" w:space="0"/>
              <w:bottom w:val="single" w:color="auto" w:sz="4" w:space="0"/>
              <w:right w:val="single" w:color="auto" w:sz="4" w:space="0"/>
            </w:tcBorders>
            <w:vAlign w:val="center"/>
          </w:tcPr>
          <w:p w14:paraId="6EC2FF93">
            <w:pPr>
              <w:rPr>
                <w:rFonts w:hint="eastAsia" w:ascii="宋体" w:hAnsi="宋体" w:eastAsia="宋体"/>
                <w:color w:val="auto"/>
                <w:szCs w:val="21"/>
                <w:shd w:val="pct10" w:color="auto" w:fill="FFFFFF"/>
                <w:lang w:eastAsia="zh-CN"/>
              </w:rPr>
            </w:pPr>
            <w:r>
              <w:rPr>
                <w:rFonts w:hint="eastAsia" w:ascii="宋体" w:hAnsi="宋体"/>
                <w:color w:val="auto"/>
              </w:rPr>
              <w:t>石油化工管理干部学院</w:t>
            </w:r>
            <w:r>
              <w:rPr>
                <w:rFonts w:hint="eastAsia" w:ascii="宋体" w:hAnsi="宋体"/>
                <w:color w:val="auto"/>
                <w:lang w:eastAsia="zh-CN"/>
              </w:rPr>
              <w:t>图书馆报告厅桌椅拆卸运输储存维修安装</w:t>
            </w:r>
          </w:p>
        </w:tc>
      </w:tr>
      <w:tr w14:paraId="32B7C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2731FF06">
            <w:pPr>
              <w:jc w:val="center"/>
              <w:rPr>
                <w:color w:val="auto"/>
              </w:rPr>
            </w:pPr>
            <w:r>
              <w:rPr>
                <w:color w:val="auto"/>
              </w:rPr>
              <w:t>2</w:t>
            </w:r>
          </w:p>
        </w:tc>
        <w:tc>
          <w:tcPr>
            <w:tcW w:w="2115" w:type="dxa"/>
            <w:tcBorders>
              <w:top w:val="single" w:color="auto" w:sz="4" w:space="0"/>
              <w:left w:val="single" w:color="auto" w:sz="4" w:space="0"/>
              <w:bottom w:val="single" w:color="auto" w:sz="4" w:space="0"/>
              <w:right w:val="single" w:color="auto" w:sz="4" w:space="0"/>
            </w:tcBorders>
            <w:vAlign w:val="center"/>
          </w:tcPr>
          <w:p w14:paraId="37D13173">
            <w:pPr>
              <w:jc w:val="center"/>
              <w:rPr>
                <w:rFonts w:ascii="宋体" w:hAnsi="宋体"/>
                <w:color w:val="auto"/>
              </w:rPr>
            </w:pPr>
            <w:r>
              <w:rPr>
                <w:rFonts w:hint="eastAsia" w:ascii="宋体" w:hAnsi="宋体"/>
                <w:color w:val="auto"/>
              </w:rPr>
              <w:t>项目</w:t>
            </w:r>
            <w:r>
              <w:rPr>
                <w:rFonts w:ascii="宋体" w:hAnsi="宋体"/>
                <w:color w:val="auto"/>
              </w:rPr>
              <w:t>地点</w:t>
            </w:r>
          </w:p>
        </w:tc>
        <w:tc>
          <w:tcPr>
            <w:tcW w:w="6717" w:type="dxa"/>
            <w:tcBorders>
              <w:top w:val="single" w:color="auto" w:sz="4" w:space="0"/>
              <w:left w:val="single" w:color="auto" w:sz="4" w:space="0"/>
              <w:bottom w:val="single" w:color="auto" w:sz="4" w:space="0"/>
              <w:right w:val="single" w:color="auto" w:sz="4" w:space="0"/>
            </w:tcBorders>
          </w:tcPr>
          <w:p w14:paraId="5908CAFA">
            <w:pPr>
              <w:rPr>
                <w:rFonts w:ascii="宋体" w:hAnsi="宋体"/>
                <w:color w:val="auto"/>
              </w:rPr>
            </w:pPr>
            <w:r>
              <w:rPr>
                <w:rFonts w:hint="eastAsia" w:ascii="宋体" w:hAnsi="宋体"/>
                <w:color w:val="auto"/>
              </w:rPr>
              <w:t>北京市朝阳区立水桥北甲1号。</w:t>
            </w:r>
          </w:p>
        </w:tc>
      </w:tr>
      <w:tr w14:paraId="09D55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79928237">
            <w:pPr>
              <w:jc w:val="center"/>
              <w:rPr>
                <w:color w:val="auto"/>
              </w:rPr>
            </w:pPr>
            <w:r>
              <w:rPr>
                <w:rFonts w:hint="eastAsia"/>
                <w:color w:val="auto"/>
              </w:rPr>
              <w:t>3</w:t>
            </w:r>
          </w:p>
        </w:tc>
        <w:tc>
          <w:tcPr>
            <w:tcW w:w="2115" w:type="dxa"/>
            <w:tcBorders>
              <w:top w:val="single" w:color="auto" w:sz="4" w:space="0"/>
              <w:left w:val="single" w:color="auto" w:sz="4" w:space="0"/>
              <w:bottom w:val="single" w:color="auto" w:sz="4" w:space="0"/>
              <w:right w:val="single" w:color="auto" w:sz="4" w:space="0"/>
            </w:tcBorders>
            <w:vAlign w:val="center"/>
          </w:tcPr>
          <w:p w14:paraId="15C1F197">
            <w:pPr>
              <w:jc w:val="center"/>
              <w:rPr>
                <w:rFonts w:ascii="宋体" w:hAnsi="宋体"/>
                <w:color w:val="auto"/>
              </w:rPr>
            </w:pPr>
            <w:r>
              <w:rPr>
                <w:rFonts w:hint="eastAsia" w:ascii="宋体" w:hAnsi="宋体"/>
                <w:color w:val="auto"/>
              </w:rPr>
              <w:t>承包方式</w:t>
            </w:r>
          </w:p>
        </w:tc>
        <w:tc>
          <w:tcPr>
            <w:tcW w:w="6717" w:type="dxa"/>
            <w:tcBorders>
              <w:top w:val="single" w:color="auto" w:sz="4" w:space="0"/>
              <w:left w:val="single" w:color="auto" w:sz="4" w:space="0"/>
              <w:bottom w:val="single" w:color="auto" w:sz="4" w:space="0"/>
              <w:right w:val="single" w:color="auto" w:sz="4" w:space="0"/>
            </w:tcBorders>
            <w:vAlign w:val="center"/>
          </w:tcPr>
          <w:p w14:paraId="021F89AF">
            <w:pPr>
              <w:rPr>
                <w:rFonts w:ascii="宋体" w:hAnsi="宋体"/>
                <w:color w:val="auto"/>
              </w:rPr>
            </w:pPr>
            <w:r>
              <w:rPr>
                <w:rFonts w:hint="eastAsia" w:ascii="宋体" w:hAnsi="宋体"/>
                <w:color w:val="auto"/>
              </w:rPr>
              <w:t>固定总价。</w:t>
            </w:r>
          </w:p>
        </w:tc>
      </w:tr>
      <w:tr w14:paraId="36C65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2DD10A5E">
            <w:pPr>
              <w:jc w:val="center"/>
              <w:rPr>
                <w:color w:val="auto"/>
              </w:rPr>
            </w:pPr>
            <w:r>
              <w:rPr>
                <w:rFonts w:hint="eastAsia"/>
                <w:color w:val="auto"/>
              </w:rPr>
              <w:t>4</w:t>
            </w:r>
          </w:p>
        </w:tc>
        <w:tc>
          <w:tcPr>
            <w:tcW w:w="2115" w:type="dxa"/>
            <w:tcBorders>
              <w:top w:val="single" w:color="auto" w:sz="4" w:space="0"/>
              <w:left w:val="single" w:color="auto" w:sz="4" w:space="0"/>
              <w:bottom w:val="single" w:color="auto" w:sz="4" w:space="0"/>
              <w:right w:val="single" w:color="auto" w:sz="4" w:space="0"/>
            </w:tcBorders>
            <w:vAlign w:val="center"/>
          </w:tcPr>
          <w:p w14:paraId="58F8CFEE">
            <w:pPr>
              <w:jc w:val="center"/>
              <w:rPr>
                <w:rFonts w:ascii="宋体" w:hAnsi="宋体"/>
                <w:color w:val="auto"/>
              </w:rPr>
            </w:pPr>
            <w:r>
              <w:rPr>
                <w:rFonts w:hint="eastAsia" w:ascii="宋体" w:hAnsi="宋体"/>
                <w:color w:val="auto"/>
              </w:rPr>
              <w:t>质量标准</w:t>
            </w:r>
          </w:p>
        </w:tc>
        <w:tc>
          <w:tcPr>
            <w:tcW w:w="6717" w:type="dxa"/>
            <w:tcBorders>
              <w:top w:val="single" w:color="auto" w:sz="4" w:space="0"/>
              <w:left w:val="single" w:color="auto" w:sz="4" w:space="0"/>
              <w:bottom w:val="single" w:color="auto" w:sz="4" w:space="0"/>
              <w:right w:val="single" w:color="auto" w:sz="4" w:space="0"/>
            </w:tcBorders>
            <w:vAlign w:val="center"/>
          </w:tcPr>
          <w:p w14:paraId="41D64BA0">
            <w:pPr>
              <w:rPr>
                <w:rFonts w:ascii="宋体" w:hAnsi="宋体"/>
                <w:color w:val="auto"/>
              </w:rPr>
            </w:pPr>
            <w:r>
              <w:rPr>
                <w:rFonts w:hint="eastAsia" w:ascii="宋体" w:hAnsi="宋体"/>
                <w:color w:val="auto"/>
              </w:rPr>
              <w:t>达到技术说明中的相关要求及北京市现行相关施工标准及规范。</w:t>
            </w:r>
          </w:p>
        </w:tc>
      </w:tr>
      <w:tr w14:paraId="75292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3"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3C199E28">
            <w:pPr>
              <w:jc w:val="center"/>
              <w:rPr>
                <w:color w:val="auto"/>
              </w:rPr>
            </w:pPr>
            <w:r>
              <w:rPr>
                <w:rFonts w:hint="eastAsia"/>
                <w:color w:val="auto"/>
              </w:rPr>
              <w:t>5</w:t>
            </w:r>
          </w:p>
        </w:tc>
        <w:tc>
          <w:tcPr>
            <w:tcW w:w="2115" w:type="dxa"/>
            <w:tcBorders>
              <w:top w:val="single" w:color="auto" w:sz="4" w:space="0"/>
              <w:left w:val="single" w:color="auto" w:sz="4" w:space="0"/>
              <w:bottom w:val="single" w:color="auto" w:sz="4" w:space="0"/>
              <w:right w:val="single" w:color="auto" w:sz="4" w:space="0"/>
            </w:tcBorders>
            <w:vAlign w:val="center"/>
          </w:tcPr>
          <w:p w14:paraId="01CF266D">
            <w:pPr>
              <w:jc w:val="center"/>
              <w:rPr>
                <w:rFonts w:ascii="宋体" w:hAnsi="宋体"/>
                <w:color w:val="auto"/>
              </w:rPr>
            </w:pPr>
            <w:r>
              <w:rPr>
                <w:rFonts w:hint="eastAsia" w:ascii="宋体" w:hAnsi="宋体"/>
                <w:color w:val="auto"/>
              </w:rPr>
              <w:t>工    期</w:t>
            </w:r>
          </w:p>
        </w:tc>
        <w:tc>
          <w:tcPr>
            <w:tcW w:w="6717" w:type="dxa"/>
            <w:tcBorders>
              <w:top w:val="single" w:color="auto" w:sz="4" w:space="0"/>
              <w:left w:val="single" w:color="auto" w:sz="4" w:space="0"/>
              <w:bottom w:val="single" w:color="auto" w:sz="4" w:space="0"/>
              <w:right w:val="single" w:color="auto" w:sz="4" w:space="0"/>
            </w:tcBorders>
            <w:vAlign w:val="center"/>
          </w:tcPr>
          <w:p w14:paraId="65981AB7">
            <w:pPr>
              <w:rPr>
                <w:rFonts w:ascii="宋体" w:hAnsi="宋体"/>
                <w:color w:val="auto"/>
              </w:rPr>
            </w:pPr>
            <w:r>
              <w:rPr>
                <w:rFonts w:hint="eastAsia" w:ascii="宋体" w:hAnsi="宋体"/>
                <w:color w:val="auto"/>
                <w:lang w:eastAsia="zh-CN"/>
              </w:rPr>
              <w:t>预计约</w:t>
            </w:r>
            <w:r>
              <w:rPr>
                <w:rFonts w:hint="eastAsia" w:ascii="宋体" w:hAnsi="宋体"/>
                <w:color w:val="auto"/>
                <w:lang w:val="en-US" w:eastAsia="zh-CN"/>
              </w:rPr>
              <w:t>60日历天，具体起始日期由学院确定</w:t>
            </w:r>
            <w:r>
              <w:rPr>
                <w:rFonts w:ascii="宋体" w:hAnsi="宋体"/>
                <w:color w:val="auto"/>
              </w:rPr>
              <w:t>。</w:t>
            </w:r>
          </w:p>
        </w:tc>
      </w:tr>
      <w:tr w14:paraId="0ED7D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2AD562A4">
            <w:pPr>
              <w:jc w:val="center"/>
              <w:rPr>
                <w:color w:val="auto"/>
              </w:rPr>
            </w:pPr>
            <w:r>
              <w:rPr>
                <w:rFonts w:hint="eastAsia"/>
                <w:color w:val="auto"/>
              </w:rPr>
              <w:t>6</w:t>
            </w:r>
          </w:p>
        </w:tc>
        <w:tc>
          <w:tcPr>
            <w:tcW w:w="2115" w:type="dxa"/>
            <w:tcBorders>
              <w:top w:val="single" w:color="auto" w:sz="4" w:space="0"/>
              <w:left w:val="single" w:color="auto" w:sz="4" w:space="0"/>
              <w:bottom w:val="single" w:color="auto" w:sz="4" w:space="0"/>
              <w:right w:val="single" w:color="auto" w:sz="4" w:space="0"/>
            </w:tcBorders>
            <w:vAlign w:val="center"/>
          </w:tcPr>
          <w:p w14:paraId="6818BDE4">
            <w:pPr>
              <w:jc w:val="center"/>
              <w:rPr>
                <w:rFonts w:ascii="宋体" w:hAnsi="宋体"/>
                <w:color w:val="auto"/>
              </w:rPr>
            </w:pPr>
            <w:r>
              <w:rPr>
                <w:rFonts w:ascii="宋体" w:hAnsi="宋体"/>
                <w:color w:val="auto"/>
              </w:rPr>
              <w:t>资金来源</w:t>
            </w:r>
          </w:p>
        </w:tc>
        <w:tc>
          <w:tcPr>
            <w:tcW w:w="6717" w:type="dxa"/>
            <w:tcBorders>
              <w:top w:val="single" w:color="auto" w:sz="4" w:space="0"/>
              <w:left w:val="single" w:color="auto" w:sz="4" w:space="0"/>
              <w:bottom w:val="single" w:color="auto" w:sz="4" w:space="0"/>
              <w:right w:val="single" w:color="auto" w:sz="4" w:space="0"/>
            </w:tcBorders>
            <w:vAlign w:val="center"/>
          </w:tcPr>
          <w:p w14:paraId="4751EEA1">
            <w:pPr>
              <w:rPr>
                <w:rFonts w:ascii="宋体" w:hAnsi="宋体"/>
                <w:color w:val="auto"/>
              </w:rPr>
            </w:pPr>
            <w:r>
              <w:rPr>
                <w:rFonts w:hint="eastAsia" w:ascii="宋体" w:hAnsi="宋体"/>
                <w:color w:val="auto"/>
              </w:rPr>
              <w:t>上级拨款</w:t>
            </w:r>
          </w:p>
        </w:tc>
      </w:tr>
      <w:tr w14:paraId="429C7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481C269">
            <w:pPr>
              <w:jc w:val="center"/>
              <w:rPr>
                <w:color w:val="auto"/>
              </w:rPr>
            </w:pPr>
            <w:r>
              <w:rPr>
                <w:rFonts w:hint="eastAsia"/>
                <w:color w:val="auto"/>
              </w:rPr>
              <w:t>7</w:t>
            </w:r>
          </w:p>
        </w:tc>
        <w:tc>
          <w:tcPr>
            <w:tcW w:w="2115" w:type="dxa"/>
            <w:tcBorders>
              <w:top w:val="single" w:color="auto" w:sz="4" w:space="0"/>
              <w:left w:val="single" w:color="auto" w:sz="4" w:space="0"/>
              <w:bottom w:val="single" w:color="auto" w:sz="4" w:space="0"/>
              <w:right w:val="single" w:color="auto" w:sz="4" w:space="0"/>
            </w:tcBorders>
            <w:vAlign w:val="center"/>
          </w:tcPr>
          <w:p w14:paraId="431DF55A">
            <w:pPr>
              <w:jc w:val="center"/>
              <w:rPr>
                <w:rFonts w:ascii="宋体" w:hAnsi="宋体"/>
                <w:color w:val="auto"/>
              </w:rPr>
            </w:pPr>
            <w:r>
              <w:rPr>
                <w:rFonts w:ascii="宋体" w:hAnsi="宋体"/>
                <w:color w:val="auto"/>
              </w:rPr>
              <w:t>询价范围</w:t>
            </w:r>
          </w:p>
        </w:tc>
        <w:tc>
          <w:tcPr>
            <w:tcW w:w="6717" w:type="dxa"/>
            <w:tcBorders>
              <w:top w:val="single" w:color="auto" w:sz="4" w:space="0"/>
              <w:left w:val="single" w:color="auto" w:sz="4" w:space="0"/>
              <w:bottom w:val="single" w:color="auto" w:sz="4" w:space="0"/>
              <w:right w:val="single" w:color="auto" w:sz="4" w:space="0"/>
            </w:tcBorders>
            <w:vAlign w:val="center"/>
          </w:tcPr>
          <w:p w14:paraId="3A664464">
            <w:pPr>
              <w:rPr>
                <w:rFonts w:ascii="宋体" w:hAnsi="宋体"/>
                <w:color w:val="auto"/>
                <w:szCs w:val="21"/>
              </w:rPr>
            </w:pPr>
            <w:r>
              <w:rPr>
                <w:rFonts w:hint="eastAsia" w:ascii="宋体" w:hAnsi="宋体"/>
                <w:color w:val="auto"/>
              </w:rPr>
              <w:t>根据学院</w:t>
            </w:r>
            <w:r>
              <w:rPr>
                <w:rFonts w:hint="eastAsia"/>
                <w:color w:val="auto"/>
              </w:rPr>
              <w:t>相关工作需要，</w:t>
            </w:r>
            <w:r>
              <w:rPr>
                <w:rFonts w:hint="eastAsia"/>
                <w:color w:val="auto"/>
                <w:lang w:eastAsia="zh-CN"/>
              </w:rPr>
              <w:t>本次询价包含图书馆所有桌椅拆卸、运输、保存、破损桌椅维修、安装</w:t>
            </w:r>
            <w:r>
              <w:rPr>
                <w:rFonts w:hint="eastAsia"/>
                <w:color w:val="auto"/>
              </w:rPr>
              <w:t>等工作。</w:t>
            </w:r>
          </w:p>
        </w:tc>
      </w:tr>
      <w:tr w14:paraId="30755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4805295">
            <w:pPr>
              <w:jc w:val="center"/>
              <w:rPr>
                <w:color w:val="auto"/>
              </w:rPr>
            </w:pPr>
            <w:r>
              <w:rPr>
                <w:rFonts w:hint="eastAsia"/>
                <w:color w:val="auto"/>
              </w:rPr>
              <w:t>8</w:t>
            </w:r>
          </w:p>
        </w:tc>
        <w:tc>
          <w:tcPr>
            <w:tcW w:w="2115" w:type="dxa"/>
            <w:tcBorders>
              <w:top w:val="single" w:color="auto" w:sz="4" w:space="0"/>
              <w:left w:val="single" w:color="auto" w:sz="4" w:space="0"/>
              <w:bottom w:val="single" w:color="auto" w:sz="4" w:space="0"/>
              <w:right w:val="single" w:color="auto" w:sz="4" w:space="0"/>
            </w:tcBorders>
            <w:vAlign w:val="center"/>
          </w:tcPr>
          <w:p w14:paraId="2F97C07D">
            <w:pPr>
              <w:jc w:val="center"/>
              <w:rPr>
                <w:rFonts w:ascii="宋体" w:hAnsi="宋体"/>
                <w:color w:val="auto"/>
              </w:rPr>
            </w:pPr>
            <w:r>
              <w:rPr>
                <w:rFonts w:hint="eastAsia" w:ascii="宋体" w:hAnsi="宋体"/>
                <w:color w:val="auto"/>
              </w:rPr>
              <w:t>报价方式</w:t>
            </w:r>
          </w:p>
        </w:tc>
        <w:tc>
          <w:tcPr>
            <w:tcW w:w="6717" w:type="dxa"/>
            <w:tcBorders>
              <w:top w:val="single" w:color="auto" w:sz="4" w:space="0"/>
              <w:left w:val="single" w:color="auto" w:sz="4" w:space="0"/>
              <w:bottom w:val="single" w:color="auto" w:sz="4" w:space="0"/>
              <w:right w:val="single" w:color="auto" w:sz="4" w:space="0"/>
            </w:tcBorders>
            <w:vAlign w:val="center"/>
          </w:tcPr>
          <w:p w14:paraId="1FF32D6E">
            <w:pPr>
              <w:rPr>
                <w:rFonts w:ascii="宋体" w:hAnsi="宋体"/>
                <w:color w:val="auto"/>
                <w:szCs w:val="21"/>
              </w:rPr>
            </w:pPr>
            <w:r>
              <w:rPr>
                <w:rFonts w:hint="eastAsia" w:ascii="宋体" w:hAnsi="宋体"/>
                <w:color w:val="auto"/>
                <w:szCs w:val="21"/>
              </w:rPr>
              <w:t>按规定格式提供报价明细及单价组成。</w:t>
            </w:r>
          </w:p>
        </w:tc>
      </w:tr>
      <w:tr w14:paraId="1D51D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2A20DA6">
            <w:pPr>
              <w:jc w:val="center"/>
              <w:rPr>
                <w:color w:val="auto"/>
              </w:rPr>
            </w:pPr>
            <w:r>
              <w:rPr>
                <w:rFonts w:hint="eastAsia"/>
                <w:color w:val="auto"/>
              </w:rPr>
              <w:t>9</w:t>
            </w:r>
          </w:p>
        </w:tc>
        <w:tc>
          <w:tcPr>
            <w:tcW w:w="2115" w:type="dxa"/>
            <w:tcBorders>
              <w:top w:val="single" w:color="auto" w:sz="4" w:space="0"/>
              <w:left w:val="single" w:color="auto" w:sz="4" w:space="0"/>
              <w:bottom w:val="single" w:color="auto" w:sz="4" w:space="0"/>
              <w:right w:val="single" w:color="auto" w:sz="4" w:space="0"/>
            </w:tcBorders>
            <w:vAlign w:val="center"/>
          </w:tcPr>
          <w:p w14:paraId="5E240BEA">
            <w:pPr>
              <w:jc w:val="center"/>
              <w:rPr>
                <w:rFonts w:ascii="宋体" w:hAnsi="宋体"/>
                <w:color w:val="auto"/>
              </w:rPr>
            </w:pPr>
            <w:r>
              <w:rPr>
                <w:rFonts w:hint="eastAsia" w:ascii="宋体" w:hAnsi="宋体"/>
                <w:color w:val="auto"/>
              </w:rPr>
              <w:t>合格报价</w:t>
            </w:r>
            <w:r>
              <w:rPr>
                <w:rFonts w:ascii="宋体" w:hAnsi="宋体"/>
                <w:color w:val="auto"/>
              </w:rPr>
              <w:t>人要求</w:t>
            </w:r>
          </w:p>
        </w:tc>
        <w:tc>
          <w:tcPr>
            <w:tcW w:w="6717" w:type="dxa"/>
            <w:tcBorders>
              <w:top w:val="single" w:color="auto" w:sz="4" w:space="0"/>
              <w:left w:val="single" w:color="auto" w:sz="4" w:space="0"/>
              <w:bottom w:val="single" w:color="auto" w:sz="4" w:space="0"/>
              <w:right w:val="single" w:color="auto" w:sz="4" w:space="0"/>
            </w:tcBorders>
            <w:vAlign w:val="center"/>
          </w:tcPr>
          <w:p w14:paraId="17795CDD">
            <w:pPr>
              <w:pStyle w:val="43"/>
              <w:numPr>
                <w:ilvl w:val="0"/>
                <w:numId w:val="2"/>
              </w:numPr>
              <w:ind w:firstLineChars="0"/>
              <w:rPr>
                <w:color w:val="auto"/>
              </w:rPr>
            </w:pPr>
            <w:r>
              <w:rPr>
                <w:rFonts w:hint="eastAsia"/>
                <w:color w:val="auto"/>
              </w:rPr>
              <w:t>必须具备独立法人；</w:t>
            </w:r>
          </w:p>
          <w:p w14:paraId="06BA571F">
            <w:pPr>
              <w:rPr>
                <w:color w:val="auto"/>
              </w:rPr>
            </w:pPr>
            <w:r>
              <w:rPr>
                <w:rFonts w:hint="eastAsia"/>
                <w:color w:val="auto"/>
              </w:rPr>
              <w:t>2、经营范围：具有家具制作及安装等相关经营范围。</w:t>
            </w:r>
          </w:p>
        </w:tc>
      </w:tr>
      <w:tr w14:paraId="78B80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C6E1136">
            <w:pPr>
              <w:jc w:val="center"/>
              <w:rPr>
                <w:color w:val="auto"/>
              </w:rPr>
            </w:pPr>
            <w:r>
              <w:rPr>
                <w:rFonts w:hint="eastAsia"/>
                <w:color w:val="auto"/>
              </w:rPr>
              <w:t>10</w:t>
            </w:r>
          </w:p>
        </w:tc>
        <w:tc>
          <w:tcPr>
            <w:tcW w:w="2115" w:type="dxa"/>
            <w:tcBorders>
              <w:top w:val="single" w:color="auto" w:sz="4" w:space="0"/>
              <w:left w:val="single" w:color="auto" w:sz="4" w:space="0"/>
              <w:bottom w:val="single" w:color="auto" w:sz="4" w:space="0"/>
              <w:right w:val="single" w:color="auto" w:sz="4" w:space="0"/>
            </w:tcBorders>
            <w:vAlign w:val="center"/>
          </w:tcPr>
          <w:p w14:paraId="00949212">
            <w:pPr>
              <w:jc w:val="center"/>
              <w:rPr>
                <w:rFonts w:ascii="宋体" w:hAnsi="宋体"/>
                <w:color w:val="auto"/>
              </w:rPr>
            </w:pPr>
            <w:r>
              <w:rPr>
                <w:rFonts w:hint="eastAsia" w:ascii="宋体" w:hAnsi="宋体"/>
                <w:color w:val="auto"/>
              </w:rPr>
              <w:t>控制价</w:t>
            </w:r>
          </w:p>
        </w:tc>
        <w:tc>
          <w:tcPr>
            <w:tcW w:w="6717" w:type="dxa"/>
            <w:tcBorders>
              <w:top w:val="single" w:color="auto" w:sz="4" w:space="0"/>
              <w:left w:val="single" w:color="auto" w:sz="4" w:space="0"/>
              <w:bottom w:val="single" w:color="auto" w:sz="4" w:space="0"/>
              <w:right w:val="single" w:color="auto" w:sz="4" w:space="0"/>
            </w:tcBorders>
            <w:vAlign w:val="center"/>
          </w:tcPr>
          <w:p w14:paraId="37E3CE52">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院方只接受一次报价。</w:t>
            </w:r>
          </w:p>
        </w:tc>
      </w:tr>
      <w:tr w14:paraId="67035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4E130C8">
            <w:pPr>
              <w:jc w:val="center"/>
              <w:rPr>
                <w:color w:val="auto"/>
              </w:rPr>
            </w:pPr>
            <w:r>
              <w:rPr>
                <w:rFonts w:hint="eastAsia"/>
                <w:color w:val="auto"/>
              </w:rPr>
              <w:t>11</w:t>
            </w:r>
          </w:p>
        </w:tc>
        <w:tc>
          <w:tcPr>
            <w:tcW w:w="2115" w:type="dxa"/>
            <w:tcBorders>
              <w:top w:val="single" w:color="auto" w:sz="4" w:space="0"/>
              <w:left w:val="single" w:color="auto" w:sz="4" w:space="0"/>
              <w:bottom w:val="single" w:color="auto" w:sz="4" w:space="0"/>
              <w:right w:val="single" w:color="auto" w:sz="4" w:space="0"/>
            </w:tcBorders>
            <w:vAlign w:val="center"/>
          </w:tcPr>
          <w:p w14:paraId="0A050CD6">
            <w:pPr>
              <w:jc w:val="center"/>
              <w:rPr>
                <w:rFonts w:ascii="宋体" w:hAnsi="宋体"/>
                <w:color w:val="auto"/>
              </w:rPr>
            </w:pPr>
            <w:r>
              <w:rPr>
                <w:rFonts w:hint="eastAsia" w:ascii="宋体" w:hAnsi="宋体"/>
                <w:color w:val="auto"/>
              </w:rPr>
              <w:t>领取询价通知书时间及地点</w:t>
            </w:r>
          </w:p>
        </w:tc>
        <w:tc>
          <w:tcPr>
            <w:tcW w:w="6717" w:type="dxa"/>
            <w:tcBorders>
              <w:top w:val="single" w:color="auto" w:sz="4" w:space="0"/>
              <w:left w:val="single" w:color="auto" w:sz="4" w:space="0"/>
              <w:bottom w:val="single" w:color="auto" w:sz="4" w:space="0"/>
              <w:right w:val="single" w:color="auto" w:sz="4" w:space="0"/>
            </w:tcBorders>
            <w:vAlign w:val="center"/>
          </w:tcPr>
          <w:p w14:paraId="3656E673">
            <w:pPr>
              <w:rPr>
                <w:rFonts w:ascii="宋体" w:hAnsi="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lang w:val="en-US" w:eastAsia="zh-CN"/>
              </w:rPr>
              <w:t>5</w:t>
            </w:r>
            <w:r>
              <w:rPr>
                <w:rFonts w:ascii="宋体" w:hAnsi="宋体"/>
                <w:color w:val="auto"/>
                <w:szCs w:val="21"/>
              </w:rPr>
              <w:t>年7</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日至</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p>
          <w:p w14:paraId="6733A54D">
            <w:pPr>
              <w:rPr>
                <w:rFonts w:ascii="宋体" w:hAnsi="宋体"/>
                <w:color w:val="auto"/>
                <w:szCs w:val="21"/>
              </w:rPr>
            </w:pPr>
            <w:r>
              <w:rPr>
                <w:rFonts w:hint="eastAsia" w:ascii="宋体" w:hAnsi="宋体"/>
                <w:color w:val="auto"/>
                <w:szCs w:val="21"/>
              </w:rPr>
              <w:t>地点：石油化工管理干部学院（北京市朝阳区立水桥北甲1号）。</w:t>
            </w:r>
          </w:p>
        </w:tc>
      </w:tr>
      <w:tr w14:paraId="593D4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9AF91AB">
            <w:pPr>
              <w:jc w:val="center"/>
              <w:rPr>
                <w:color w:val="auto"/>
              </w:rPr>
            </w:pPr>
            <w:r>
              <w:rPr>
                <w:rFonts w:hint="eastAsia"/>
                <w:color w:val="auto"/>
              </w:rPr>
              <w:t>12</w:t>
            </w:r>
          </w:p>
        </w:tc>
        <w:tc>
          <w:tcPr>
            <w:tcW w:w="2115" w:type="dxa"/>
            <w:tcBorders>
              <w:top w:val="single" w:color="auto" w:sz="4" w:space="0"/>
              <w:left w:val="single" w:color="auto" w:sz="4" w:space="0"/>
              <w:bottom w:val="single" w:color="auto" w:sz="4" w:space="0"/>
              <w:right w:val="single" w:color="auto" w:sz="4" w:space="0"/>
            </w:tcBorders>
            <w:vAlign w:val="center"/>
          </w:tcPr>
          <w:p w14:paraId="6F2C5430">
            <w:pPr>
              <w:jc w:val="center"/>
              <w:rPr>
                <w:rFonts w:ascii="宋体" w:hAnsi="宋体"/>
                <w:color w:val="auto"/>
              </w:rPr>
            </w:pPr>
            <w:r>
              <w:rPr>
                <w:rFonts w:ascii="宋体" w:hAnsi="宋体"/>
                <w:color w:val="auto"/>
              </w:rPr>
              <w:t>踏勘现场</w:t>
            </w:r>
          </w:p>
        </w:tc>
        <w:tc>
          <w:tcPr>
            <w:tcW w:w="6717" w:type="dxa"/>
            <w:tcBorders>
              <w:top w:val="single" w:color="auto" w:sz="4" w:space="0"/>
              <w:left w:val="single" w:color="auto" w:sz="4" w:space="0"/>
              <w:bottom w:val="single" w:color="auto" w:sz="4" w:space="0"/>
              <w:right w:val="single" w:color="auto" w:sz="4" w:space="0"/>
            </w:tcBorders>
            <w:vAlign w:val="center"/>
          </w:tcPr>
          <w:p w14:paraId="2ABB5B17">
            <w:pPr>
              <w:rPr>
                <w:rFonts w:ascii="宋体" w:hAnsi="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w:t>
            </w:r>
          </w:p>
          <w:p w14:paraId="6F70F771">
            <w:pPr>
              <w:rPr>
                <w:rFonts w:ascii="宋体" w:hAnsi="宋体"/>
                <w:color w:val="auto"/>
                <w:szCs w:val="21"/>
              </w:rPr>
            </w:pPr>
            <w:r>
              <w:rPr>
                <w:rFonts w:hint="eastAsia" w:ascii="宋体" w:hAnsi="宋体"/>
                <w:color w:val="auto"/>
                <w:szCs w:val="21"/>
              </w:rPr>
              <w:t>地点：石油化工管理干部学院（北京市朝阳区立水桥北甲1号）。报价人发生费用自理。</w:t>
            </w:r>
          </w:p>
        </w:tc>
      </w:tr>
      <w:tr w14:paraId="5B86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79C61D4">
            <w:pPr>
              <w:jc w:val="center"/>
              <w:rPr>
                <w:color w:val="auto"/>
                <w:shd w:val="pct10" w:color="auto" w:fill="FFFFFF"/>
              </w:rPr>
            </w:pPr>
            <w:r>
              <w:rPr>
                <w:color w:val="auto"/>
              </w:rPr>
              <w:t>1</w:t>
            </w:r>
            <w:r>
              <w:rPr>
                <w:rFonts w:hint="eastAsia"/>
                <w:color w:val="auto"/>
              </w:rPr>
              <w:t>3</w:t>
            </w:r>
          </w:p>
        </w:tc>
        <w:tc>
          <w:tcPr>
            <w:tcW w:w="2115" w:type="dxa"/>
            <w:tcBorders>
              <w:top w:val="single" w:color="auto" w:sz="4" w:space="0"/>
              <w:left w:val="single" w:color="auto" w:sz="4" w:space="0"/>
              <w:bottom w:val="single" w:color="auto" w:sz="4" w:space="0"/>
              <w:right w:val="single" w:color="auto" w:sz="4" w:space="0"/>
            </w:tcBorders>
            <w:vAlign w:val="center"/>
          </w:tcPr>
          <w:p w14:paraId="39D24EFC">
            <w:pPr>
              <w:jc w:val="center"/>
              <w:rPr>
                <w:rFonts w:ascii="宋体" w:hAnsi="宋体"/>
                <w:color w:val="auto"/>
              </w:rPr>
            </w:pPr>
            <w:r>
              <w:rPr>
                <w:rFonts w:ascii="宋体" w:hAnsi="宋体"/>
                <w:color w:val="auto"/>
              </w:rPr>
              <w:t>报价有效期</w:t>
            </w:r>
          </w:p>
        </w:tc>
        <w:tc>
          <w:tcPr>
            <w:tcW w:w="6717" w:type="dxa"/>
            <w:tcBorders>
              <w:top w:val="single" w:color="auto" w:sz="4" w:space="0"/>
              <w:left w:val="single" w:color="auto" w:sz="4" w:space="0"/>
              <w:bottom w:val="single" w:color="auto" w:sz="4" w:space="0"/>
              <w:right w:val="single" w:color="auto" w:sz="4" w:space="0"/>
            </w:tcBorders>
            <w:vAlign w:val="center"/>
          </w:tcPr>
          <w:p w14:paraId="1F9BE34A">
            <w:pPr>
              <w:rPr>
                <w:color w:val="auto"/>
              </w:rPr>
            </w:pPr>
            <w:r>
              <w:rPr>
                <w:color w:val="auto"/>
              </w:rPr>
              <w:t>为（从报价截止之日算起）：</w:t>
            </w:r>
            <w:r>
              <w:rPr>
                <w:rFonts w:hint="eastAsia"/>
                <w:color w:val="auto"/>
              </w:rPr>
              <w:t>30</w:t>
            </w:r>
            <w:r>
              <w:rPr>
                <w:color w:val="auto"/>
              </w:rPr>
              <w:t>日历天</w:t>
            </w:r>
            <w:r>
              <w:rPr>
                <w:rFonts w:hint="eastAsia"/>
                <w:color w:val="auto"/>
              </w:rPr>
              <w:t>。</w:t>
            </w:r>
          </w:p>
        </w:tc>
      </w:tr>
      <w:tr w14:paraId="0DBFD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284EA65">
            <w:pPr>
              <w:jc w:val="center"/>
              <w:rPr>
                <w:color w:val="auto"/>
                <w:shd w:val="pct10" w:color="auto" w:fill="FFFFFF"/>
              </w:rPr>
            </w:pPr>
            <w:r>
              <w:rPr>
                <w:rFonts w:hint="eastAsia"/>
                <w:color w:val="auto"/>
              </w:rPr>
              <w:t>14</w:t>
            </w:r>
          </w:p>
        </w:tc>
        <w:tc>
          <w:tcPr>
            <w:tcW w:w="2115" w:type="dxa"/>
            <w:tcBorders>
              <w:top w:val="single" w:color="auto" w:sz="4" w:space="0"/>
              <w:left w:val="single" w:color="auto" w:sz="4" w:space="0"/>
              <w:bottom w:val="single" w:color="auto" w:sz="4" w:space="0"/>
              <w:right w:val="single" w:color="auto" w:sz="4" w:space="0"/>
            </w:tcBorders>
            <w:vAlign w:val="center"/>
          </w:tcPr>
          <w:p w14:paraId="4CC657C0">
            <w:pPr>
              <w:jc w:val="center"/>
              <w:rPr>
                <w:rFonts w:ascii="宋体" w:hAnsi="宋体"/>
                <w:color w:val="auto"/>
              </w:rPr>
            </w:pPr>
            <w:r>
              <w:rPr>
                <w:rFonts w:ascii="宋体" w:hAnsi="宋体"/>
                <w:color w:val="auto"/>
              </w:rPr>
              <w:t>报价文件份数</w:t>
            </w:r>
          </w:p>
        </w:tc>
        <w:tc>
          <w:tcPr>
            <w:tcW w:w="6717" w:type="dxa"/>
            <w:tcBorders>
              <w:top w:val="single" w:color="auto" w:sz="4" w:space="0"/>
              <w:left w:val="single" w:color="auto" w:sz="4" w:space="0"/>
              <w:bottom w:val="single" w:color="auto" w:sz="4" w:space="0"/>
              <w:right w:val="single" w:color="auto" w:sz="4" w:space="0"/>
            </w:tcBorders>
            <w:vAlign w:val="center"/>
          </w:tcPr>
          <w:p w14:paraId="07AA57DC">
            <w:pPr>
              <w:ind w:left="1050" w:hanging="1050" w:hangingChars="500"/>
              <w:rPr>
                <w:color w:val="auto"/>
              </w:rPr>
            </w:pPr>
            <w:r>
              <w:rPr>
                <w:color w:val="auto"/>
              </w:rPr>
              <w:t>正本</w:t>
            </w:r>
            <w:r>
              <w:rPr>
                <w:rFonts w:hint="eastAsia"/>
                <w:color w:val="auto"/>
              </w:rPr>
              <w:t>壹</w:t>
            </w:r>
            <w:r>
              <w:rPr>
                <w:color w:val="auto"/>
              </w:rPr>
              <w:t>份，副本</w:t>
            </w:r>
            <w:r>
              <w:rPr>
                <w:rFonts w:hint="eastAsia"/>
                <w:color w:val="auto"/>
              </w:rPr>
              <w:t>肆</w:t>
            </w:r>
            <w:r>
              <w:rPr>
                <w:color w:val="auto"/>
              </w:rPr>
              <w:t>份</w:t>
            </w:r>
            <w:r>
              <w:rPr>
                <w:rFonts w:hint="eastAsia"/>
                <w:color w:val="auto"/>
              </w:rPr>
              <w:t>。</w:t>
            </w:r>
          </w:p>
        </w:tc>
      </w:tr>
      <w:tr w14:paraId="27F03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4E8EBEB">
            <w:pPr>
              <w:jc w:val="center"/>
              <w:rPr>
                <w:color w:val="auto"/>
              </w:rPr>
            </w:pPr>
            <w:r>
              <w:rPr>
                <w:color w:val="auto"/>
              </w:rPr>
              <w:t>1</w:t>
            </w:r>
            <w:r>
              <w:rPr>
                <w:rFonts w:hint="eastAsia"/>
                <w:color w:val="auto"/>
              </w:rPr>
              <w:t>5</w:t>
            </w:r>
          </w:p>
        </w:tc>
        <w:tc>
          <w:tcPr>
            <w:tcW w:w="2115" w:type="dxa"/>
            <w:tcBorders>
              <w:top w:val="single" w:color="auto" w:sz="4" w:space="0"/>
              <w:left w:val="single" w:color="auto" w:sz="4" w:space="0"/>
              <w:bottom w:val="single" w:color="auto" w:sz="4" w:space="0"/>
              <w:right w:val="single" w:color="auto" w:sz="4" w:space="0"/>
            </w:tcBorders>
            <w:vAlign w:val="center"/>
          </w:tcPr>
          <w:p w14:paraId="1255989F">
            <w:pPr>
              <w:jc w:val="center"/>
              <w:rPr>
                <w:rFonts w:ascii="宋体" w:hAnsi="宋体"/>
                <w:color w:val="auto"/>
              </w:rPr>
            </w:pPr>
            <w:r>
              <w:rPr>
                <w:rFonts w:ascii="宋体" w:hAnsi="宋体"/>
                <w:color w:val="auto"/>
              </w:rPr>
              <w:t>报价文件</w:t>
            </w:r>
            <w:r>
              <w:rPr>
                <w:rFonts w:hint="eastAsia" w:ascii="宋体" w:hAnsi="宋体"/>
                <w:color w:val="auto"/>
              </w:rPr>
              <w:t>递</w:t>
            </w:r>
            <w:r>
              <w:rPr>
                <w:rFonts w:ascii="宋体" w:hAnsi="宋体"/>
                <w:color w:val="auto"/>
              </w:rPr>
              <w:t>交</w:t>
            </w:r>
            <w:r>
              <w:rPr>
                <w:rFonts w:hint="eastAsia" w:ascii="宋体" w:hAnsi="宋体"/>
                <w:color w:val="auto"/>
              </w:rPr>
              <w:t xml:space="preserve">      截止</w:t>
            </w:r>
            <w:r>
              <w:rPr>
                <w:rFonts w:ascii="宋体" w:hAnsi="宋体"/>
                <w:color w:val="auto"/>
              </w:rPr>
              <w:t>时间及地点</w:t>
            </w:r>
          </w:p>
        </w:tc>
        <w:tc>
          <w:tcPr>
            <w:tcW w:w="6717" w:type="dxa"/>
            <w:tcBorders>
              <w:top w:val="single" w:color="auto" w:sz="4" w:space="0"/>
              <w:left w:val="single" w:color="auto" w:sz="4" w:space="0"/>
              <w:bottom w:val="single" w:color="auto" w:sz="4" w:space="0"/>
              <w:right w:val="single" w:color="auto" w:sz="4" w:space="0"/>
            </w:tcBorders>
            <w:vAlign w:val="center"/>
          </w:tcPr>
          <w:p w14:paraId="6B68E723">
            <w:pPr>
              <w:rPr>
                <w:rFonts w:ascii="宋体" w:hAnsi="宋体"/>
                <w:color w:val="auto"/>
                <w:szCs w:val="21"/>
              </w:rPr>
            </w:pPr>
            <w:r>
              <w:rPr>
                <w:rFonts w:hint="eastAsia"/>
                <w:color w:val="auto"/>
              </w:rPr>
              <w:t>递交截止时间：</w:t>
            </w:r>
            <w:r>
              <w:rPr>
                <w:rFonts w:hint="eastAsia" w:ascii="宋体" w:hAnsi="宋体"/>
                <w:color w:val="auto"/>
                <w:szCs w:val="21"/>
              </w:rPr>
              <w:t>20</w:t>
            </w:r>
            <w:r>
              <w:rPr>
                <w:rFonts w:ascii="宋体" w:hAnsi="宋体"/>
                <w:color w:val="auto"/>
                <w:szCs w:val="21"/>
              </w:rPr>
              <w:t>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4</w:t>
            </w:r>
            <w:r>
              <w:rPr>
                <w:rFonts w:hint="eastAsia" w:ascii="宋体" w:hAnsi="宋体"/>
                <w:color w:val="auto"/>
                <w:szCs w:val="21"/>
              </w:rPr>
              <w:t>日</w:t>
            </w:r>
            <w:r>
              <w:rPr>
                <w:rFonts w:hint="eastAsia" w:ascii="宋体" w:hAnsi="宋体"/>
                <w:color w:val="auto"/>
                <w:szCs w:val="21"/>
                <w:lang w:eastAsia="zh-CN"/>
              </w:rPr>
              <w:t>下</w:t>
            </w:r>
            <w:r>
              <w:rPr>
                <w:rFonts w:hint="eastAsia" w:ascii="宋体" w:hAnsi="宋体"/>
                <w:color w:val="auto"/>
                <w:szCs w:val="21"/>
              </w:rPr>
              <w:t>午</w:t>
            </w:r>
            <w:r>
              <w:rPr>
                <w:rFonts w:hint="eastAsia" w:ascii="宋体" w:hAnsi="宋体"/>
                <w:color w:val="auto"/>
                <w:szCs w:val="21"/>
                <w:lang w:val="en-US" w:eastAsia="zh-CN"/>
              </w:rPr>
              <w:t>14</w:t>
            </w:r>
            <w:r>
              <w:rPr>
                <w:rFonts w:ascii="宋体" w:hAnsi="宋体"/>
                <w:color w:val="auto"/>
                <w:szCs w:val="21"/>
              </w:rPr>
              <w:t>:00</w:t>
            </w:r>
          </w:p>
          <w:p w14:paraId="117B6E3C">
            <w:pPr>
              <w:ind w:left="1050" w:hanging="1050" w:hangingChars="500"/>
              <w:rPr>
                <w:color w:val="auto"/>
              </w:rPr>
            </w:pPr>
            <w:r>
              <w:rPr>
                <w:rFonts w:hint="eastAsia"/>
                <w:color w:val="auto"/>
              </w:rPr>
              <w:t>递交</w:t>
            </w:r>
            <w:r>
              <w:rPr>
                <w:color w:val="auto"/>
              </w:rPr>
              <w:t>地点：</w:t>
            </w:r>
            <w:r>
              <w:rPr>
                <w:rFonts w:hint="eastAsia"/>
                <w:color w:val="auto"/>
              </w:rPr>
              <w:t>石油化工管理干部学院（北京市朝阳区立水桥北甲1号）。</w:t>
            </w:r>
          </w:p>
        </w:tc>
      </w:tr>
      <w:tr w14:paraId="3AF4C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5003D03">
            <w:pPr>
              <w:jc w:val="center"/>
              <w:rPr>
                <w:color w:val="auto"/>
              </w:rPr>
            </w:pPr>
            <w:r>
              <w:rPr>
                <w:color w:val="auto"/>
              </w:rPr>
              <w:t>1</w:t>
            </w:r>
            <w:r>
              <w:rPr>
                <w:rFonts w:hint="eastAsia"/>
                <w:color w:val="auto"/>
              </w:rPr>
              <w:t>6</w:t>
            </w:r>
          </w:p>
        </w:tc>
        <w:tc>
          <w:tcPr>
            <w:tcW w:w="2115" w:type="dxa"/>
            <w:tcBorders>
              <w:top w:val="single" w:color="auto" w:sz="4" w:space="0"/>
              <w:left w:val="single" w:color="auto" w:sz="4" w:space="0"/>
              <w:bottom w:val="single" w:color="auto" w:sz="4" w:space="0"/>
              <w:right w:val="single" w:color="auto" w:sz="4" w:space="0"/>
            </w:tcBorders>
            <w:vAlign w:val="center"/>
          </w:tcPr>
          <w:p w14:paraId="0B477411">
            <w:pPr>
              <w:jc w:val="center"/>
              <w:rPr>
                <w:rFonts w:ascii="宋体" w:hAnsi="宋体"/>
                <w:color w:val="auto"/>
              </w:rPr>
            </w:pPr>
            <w:r>
              <w:rPr>
                <w:rFonts w:hint="eastAsia" w:ascii="宋体" w:hAnsi="宋体"/>
                <w:color w:val="auto"/>
              </w:rPr>
              <w:t>询价时间</w:t>
            </w:r>
          </w:p>
        </w:tc>
        <w:tc>
          <w:tcPr>
            <w:tcW w:w="6717" w:type="dxa"/>
            <w:tcBorders>
              <w:top w:val="single" w:color="auto" w:sz="4" w:space="0"/>
              <w:left w:val="single" w:color="auto" w:sz="4" w:space="0"/>
              <w:bottom w:val="single" w:color="auto" w:sz="4" w:space="0"/>
              <w:right w:val="single" w:color="auto" w:sz="4" w:space="0"/>
            </w:tcBorders>
            <w:vAlign w:val="center"/>
          </w:tcPr>
          <w:p w14:paraId="7E7942FD">
            <w:pPr>
              <w:rPr>
                <w:color w:val="auto"/>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4</w:t>
            </w:r>
            <w:r>
              <w:rPr>
                <w:rFonts w:hint="eastAsia" w:ascii="宋体" w:hAnsi="宋体"/>
                <w:color w:val="auto"/>
                <w:szCs w:val="21"/>
              </w:rPr>
              <w:t>日</w:t>
            </w:r>
            <w:r>
              <w:rPr>
                <w:rFonts w:hint="eastAsia" w:ascii="宋体" w:hAnsi="宋体"/>
                <w:color w:val="auto"/>
                <w:szCs w:val="21"/>
                <w:lang w:eastAsia="zh-CN"/>
              </w:rPr>
              <w:t>下</w:t>
            </w:r>
            <w:r>
              <w:rPr>
                <w:rFonts w:hint="eastAsia" w:ascii="宋体" w:hAnsi="宋体"/>
                <w:color w:val="auto"/>
                <w:szCs w:val="21"/>
              </w:rPr>
              <w:t>午</w:t>
            </w:r>
            <w:r>
              <w:rPr>
                <w:rFonts w:hint="eastAsia" w:ascii="宋体" w:hAnsi="宋体"/>
                <w:color w:val="auto"/>
                <w:szCs w:val="21"/>
                <w:lang w:val="en-US" w:eastAsia="zh-CN"/>
              </w:rPr>
              <w:t>14</w:t>
            </w:r>
            <w:r>
              <w:rPr>
                <w:rFonts w:ascii="宋体" w:hAnsi="宋体"/>
                <w:color w:val="auto"/>
                <w:szCs w:val="21"/>
              </w:rPr>
              <w:t>:00</w:t>
            </w:r>
          </w:p>
        </w:tc>
      </w:tr>
      <w:tr w14:paraId="32547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9A0E575">
            <w:pPr>
              <w:jc w:val="center"/>
              <w:rPr>
                <w:color w:val="auto"/>
              </w:rPr>
            </w:pPr>
            <w:r>
              <w:rPr>
                <w:rFonts w:hint="eastAsia"/>
                <w:color w:val="auto"/>
              </w:rPr>
              <w:t>17</w:t>
            </w:r>
          </w:p>
        </w:tc>
        <w:tc>
          <w:tcPr>
            <w:tcW w:w="2115" w:type="dxa"/>
            <w:tcBorders>
              <w:top w:val="single" w:color="auto" w:sz="4" w:space="0"/>
              <w:left w:val="single" w:color="auto" w:sz="4" w:space="0"/>
              <w:bottom w:val="single" w:color="auto" w:sz="4" w:space="0"/>
              <w:right w:val="single" w:color="auto" w:sz="4" w:space="0"/>
            </w:tcBorders>
            <w:vAlign w:val="center"/>
          </w:tcPr>
          <w:p w14:paraId="638570BD">
            <w:pPr>
              <w:jc w:val="center"/>
              <w:rPr>
                <w:rFonts w:ascii="宋体" w:hAnsi="宋体"/>
                <w:color w:val="auto"/>
              </w:rPr>
            </w:pPr>
            <w:r>
              <w:rPr>
                <w:rFonts w:hint="eastAsia" w:ascii="宋体" w:hAnsi="宋体"/>
                <w:color w:val="auto"/>
              </w:rPr>
              <w:t>报价</w:t>
            </w:r>
            <w:r>
              <w:rPr>
                <w:rFonts w:ascii="宋体" w:hAnsi="宋体"/>
                <w:color w:val="auto"/>
              </w:rPr>
              <w:t>补偿</w:t>
            </w:r>
          </w:p>
        </w:tc>
        <w:tc>
          <w:tcPr>
            <w:tcW w:w="6717" w:type="dxa"/>
            <w:tcBorders>
              <w:top w:val="single" w:color="auto" w:sz="4" w:space="0"/>
              <w:left w:val="single" w:color="auto" w:sz="4" w:space="0"/>
              <w:bottom w:val="single" w:color="auto" w:sz="4" w:space="0"/>
              <w:right w:val="single" w:color="auto" w:sz="4" w:space="0"/>
            </w:tcBorders>
            <w:vAlign w:val="center"/>
          </w:tcPr>
          <w:p w14:paraId="6DDDDB51">
            <w:pPr>
              <w:rPr>
                <w:color w:val="auto"/>
              </w:rPr>
            </w:pPr>
            <w:r>
              <w:rPr>
                <w:rFonts w:hint="eastAsia"/>
                <w:color w:val="auto"/>
              </w:rPr>
              <w:t>无论是否被选中，对报价</w:t>
            </w:r>
            <w:r>
              <w:rPr>
                <w:color w:val="auto"/>
              </w:rPr>
              <w:t>人</w:t>
            </w:r>
            <w:r>
              <w:rPr>
                <w:rFonts w:hint="eastAsia"/>
                <w:color w:val="auto"/>
              </w:rPr>
              <w:t>均无</w:t>
            </w:r>
            <w:r>
              <w:rPr>
                <w:color w:val="auto"/>
              </w:rPr>
              <w:t>补偿</w:t>
            </w:r>
            <w:r>
              <w:rPr>
                <w:rFonts w:hint="eastAsia"/>
                <w:color w:val="auto"/>
              </w:rPr>
              <w:t>。</w:t>
            </w:r>
            <w:bookmarkStart w:id="3" w:name="_GoBack"/>
            <w:bookmarkEnd w:id="3"/>
          </w:p>
        </w:tc>
      </w:tr>
      <w:tr w14:paraId="54F4E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CEDF92A">
            <w:pPr>
              <w:jc w:val="center"/>
              <w:rPr>
                <w:color w:val="auto"/>
              </w:rPr>
            </w:pPr>
            <w:r>
              <w:rPr>
                <w:rFonts w:hint="eastAsia"/>
                <w:color w:val="auto"/>
              </w:rPr>
              <w:t>18</w:t>
            </w:r>
          </w:p>
        </w:tc>
        <w:tc>
          <w:tcPr>
            <w:tcW w:w="2115" w:type="dxa"/>
            <w:tcBorders>
              <w:top w:val="single" w:color="auto" w:sz="4" w:space="0"/>
              <w:left w:val="single" w:color="auto" w:sz="4" w:space="0"/>
              <w:bottom w:val="single" w:color="auto" w:sz="4" w:space="0"/>
              <w:right w:val="single" w:color="auto" w:sz="4" w:space="0"/>
            </w:tcBorders>
            <w:vAlign w:val="center"/>
          </w:tcPr>
          <w:p w14:paraId="251D1F66">
            <w:pPr>
              <w:jc w:val="center"/>
              <w:rPr>
                <w:rFonts w:ascii="宋体" w:hAnsi="宋体"/>
                <w:color w:val="auto"/>
              </w:rPr>
            </w:pPr>
            <w:r>
              <w:rPr>
                <w:rFonts w:hint="eastAsia" w:ascii="宋体" w:hAnsi="宋体"/>
                <w:color w:val="auto"/>
              </w:rPr>
              <w:t>询价联系人</w:t>
            </w:r>
          </w:p>
        </w:tc>
        <w:tc>
          <w:tcPr>
            <w:tcW w:w="6717" w:type="dxa"/>
            <w:tcBorders>
              <w:top w:val="single" w:color="auto" w:sz="4" w:space="0"/>
              <w:left w:val="single" w:color="auto" w:sz="4" w:space="0"/>
              <w:bottom w:val="single" w:color="auto" w:sz="4" w:space="0"/>
              <w:right w:val="single" w:color="auto" w:sz="4" w:space="0"/>
            </w:tcBorders>
            <w:vAlign w:val="center"/>
          </w:tcPr>
          <w:p w14:paraId="3E5B1140">
            <w:pPr>
              <w:snapToGrid w:val="0"/>
              <w:rPr>
                <w:rFonts w:hint="default" w:ascii="宋体" w:hAnsi="宋体" w:eastAsia="宋体"/>
                <w:color w:val="auto"/>
                <w:szCs w:val="21"/>
                <w:lang w:val="en-US" w:eastAsia="zh-CN"/>
              </w:rPr>
            </w:pPr>
            <w:r>
              <w:rPr>
                <w:rFonts w:hint="eastAsia" w:ascii="宋体" w:hAnsi="宋体"/>
                <w:color w:val="auto"/>
                <w:szCs w:val="21"/>
                <w:lang w:eastAsia="zh-CN"/>
              </w:rPr>
              <w:t>王</w:t>
            </w:r>
            <w:r>
              <w:rPr>
                <w:rFonts w:hint="eastAsia" w:ascii="宋体" w:hAnsi="宋体"/>
                <w:color w:val="auto"/>
                <w:szCs w:val="21"/>
              </w:rPr>
              <w:t>老师   电</w:t>
            </w:r>
            <w:bookmarkStart w:id="1" w:name="_Toc77654759"/>
            <w:r>
              <w:rPr>
                <w:rFonts w:hint="eastAsia" w:ascii="宋体" w:hAnsi="宋体"/>
                <w:color w:val="auto"/>
                <w:szCs w:val="21"/>
              </w:rPr>
              <w:t xml:space="preserve">  话</w:t>
            </w:r>
            <w:bookmarkEnd w:id="1"/>
            <w:r>
              <w:rPr>
                <w:rFonts w:hint="eastAsia" w:ascii="宋体" w:hAnsi="宋体"/>
                <w:color w:val="auto"/>
                <w:szCs w:val="21"/>
              </w:rPr>
              <w:t>：010-</w:t>
            </w:r>
            <w:r>
              <w:rPr>
                <w:rFonts w:ascii="宋体" w:hAnsi="宋体"/>
                <w:color w:val="auto"/>
                <w:szCs w:val="21"/>
              </w:rPr>
              <w:t>6160</w:t>
            </w:r>
            <w:r>
              <w:rPr>
                <w:rFonts w:hint="eastAsia" w:ascii="宋体" w:hAnsi="宋体"/>
                <w:color w:val="auto"/>
                <w:szCs w:val="21"/>
              </w:rPr>
              <w:t>1</w:t>
            </w:r>
            <w:r>
              <w:rPr>
                <w:rFonts w:ascii="宋体" w:hAnsi="宋体"/>
                <w:color w:val="auto"/>
                <w:szCs w:val="21"/>
              </w:rPr>
              <w:t>9</w:t>
            </w:r>
            <w:r>
              <w:rPr>
                <w:rFonts w:hint="eastAsia" w:ascii="宋体" w:hAnsi="宋体"/>
                <w:color w:val="auto"/>
                <w:szCs w:val="21"/>
                <w:lang w:val="en-US" w:eastAsia="zh-CN"/>
              </w:rPr>
              <w:t>90，15201385739</w:t>
            </w:r>
          </w:p>
          <w:p w14:paraId="30653497">
            <w:pPr>
              <w:snapToGrid w:val="0"/>
              <w:rPr>
                <w:color w:val="auto"/>
                <w:szCs w:val="21"/>
              </w:rPr>
            </w:pPr>
            <w:r>
              <w:rPr>
                <w:rFonts w:hint="eastAsia" w:ascii="宋体" w:hAnsi="宋体"/>
                <w:color w:val="auto"/>
                <w:szCs w:val="21"/>
              </w:rPr>
              <w:t>电子邮箱：</w:t>
            </w:r>
            <w:r>
              <w:rPr>
                <w:rFonts w:hint="eastAsia" w:ascii="宋体" w:hAnsi="宋体"/>
                <w:color w:val="auto"/>
                <w:szCs w:val="21"/>
                <w:lang w:val="en-US" w:eastAsia="zh-CN"/>
              </w:rPr>
              <w:t>wangch208</w:t>
            </w:r>
            <w:r>
              <w:rPr>
                <w:rFonts w:ascii="宋体" w:hAnsi="宋体"/>
                <w:color w:val="auto"/>
                <w:szCs w:val="21"/>
              </w:rPr>
              <w:t>.glgy@sinopec.com</w:t>
            </w:r>
            <w:r>
              <w:rPr>
                <w:rFonts w:hint="eastAsia"/>
                <w:color w:val="auto"/>
              </w:rPr>
              <w:t>。</w:t>
            </w:r>
          </w:p>
        </w:tc>
      </w:tr>
    </w:tbl>
    <w:p w14:paraId="3225257E">
      <w:pPr>
        <w:jc w:val="center"/>
        <w:rPr>
          <w:rFonts w:ascii="黑体" w:eastAsia="黑体"/>
          <w:b/>
          <w:color w:val="auto"/>
          <w:sz w:val="36"/>
          <w:szCs w:val="36"/>
        </w:rPr>
      </w:pPr>
    </w:p>
    <w:p w14:paraId="77FD3ACE">
      <w:pPr>
        <w:jc w:val="center"/>
        <w:rPr>
          <w:rFonts w:ascii="黑体" w:eastAsia="黑体"/>
          <w:b/>
          <w:color w:val="auto"/>
          <w:sz w:val="36"/>
          <w:szCs w:val="36"/>
        </w:rPr>
      </w:pPr>
      <w:r>
        <w:rPr>
          <w:rFonts w:hint="eastAsia" w:ascii="黑体" w:eastAsia="黑体"/>
          <w:b/>
          <w:color w:val="auto"/>
          <w:sz w:val="36"/>
          <w:szCs w:val="36"/>
        </w:rPr>
        <w:t>第一章 报价人须知</w:t>
      </w:r>
    </w:p>
    <w:p w14:paraId="4C615081">
      <w:pPr>
        <w:jc w:val="center"/>
        <w:rPr>
          <w:rFonts w:ascii="宋体" w:hAnsi="宋体"/>
          <w:b/>
          <w:color w:val="auto"/>
          <w:sz w:val="32"/>
          <w:szCs w:val="32"/>
        </w:rPr>
      </w:pPr>
      <w:r>
        <w:rPr>
          <w:rFonts w:hint="eastAsia" w:ascii="宋体" w:hAnsi="宋体"/>
          <w:b/>
          <w:color w:val="auto"/>
          <w:sz w:val="32"/>
          <w:szCs w:val="32"/>
        </w:rPr>
        <w:t>一、总  则</w:t>
      </w:r>
    </w:p>
    <w:p w14:paraId="722B5D41">
      <w:pPr>
        <w:ind w:firstLine="422" w:firstLineChars="200"/>
        <w:rPr>
          <w:rFonts w:ascii="宋体" w:hAnsi="宋体"/>
          <w:b/>
          <w:color w:val="auto"/>
        </w:rPr>
      </w:pPr>
      <w:r>
        <w:rPr>
          <w:rFonts w:hint="eastAsia" w:ascii="宋体" w:hAnsi="宋体"/>
          <w:b/>
          <w:color w:val="auto"/>
        </w:rPr>
        <w:t>1．概述：</w:t>
      </w:r>
    </w:p>
    <w:p w14:paraId="79B9C13A">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color w:val="auto"/>
        </w:rPr>
      </w:pPr>
      <w:r>
        <w:rPr>
          <w:rFonts w:hint="eastAsia" w:ascii="宋体" w:hAnsi="宋体"/>
          <w:color w:val="auto"/>
        </w:rPr>
        <w:t>根据学院</w:t>
      </w:r>
      <w:r>
        <w:rPr>
          <w:rFonts w:hint="eastAsia"/>
          <w:color w:val="auto"/>
        </w:rPr>
        <w:t>相关工作需要，</w:t>
      </w:r>
      <w:r>
        <w:rPr>
          <w:rFonts w:hint="eastAsia"/>
          <w:color w:val="auto"/>
          <w:lang w:eastAsia="zh-CN"/>
        </w:rPr>
        <w:t>本次询价包含图书馆所有桌椅拆卸、运输、保存、破损桌椅维修、安装</w:t>
      </w:r>
      <w:r>
        <w:rPr>
          <w:rFonts w:hint="eastAsia"/>
          <w:color w:val="auto"/>
        </w:rPr>
        <w:t>等工作。</w:t>
      </w:r>
    </w:p>
    <w:p w14:paraId="795D6D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lang w:eastAsia="zh-CN"/>
        </w:rPr>
      </w:pPr>
      <w:r>
        <w:rPr>
          <w:rFonts w:ascii="宋体" w:hAnsi="宋体"/>
          <w:color w:val="auto"/>
        </w:rPr>
        <w:t>1.1</w:t>
      </w:r>
      <w:r>
        <w:rPr>
          <w:rFonts w:hint="eastAsia" w:ascii="宋体" w:hAnsi="宋体"/>
          <w:color w:val="auto"/>
          <w:lang w:eastAsia="zh-CN"/>
        </w:rPr>
        <w:t>项目技术要求</w:t>
      </w:r>
    </w:p>
    <w:p w14:paraId="6FA8CDEA">
      <w:pPr>
        <w:pStyle w:val="11"/>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学院图书馆</w:t>
      </w:r>
      <w:r>
        <w:rPr>
          <w:rFonts w:hint="eastAsia" w:asciiTheme="minorEastAsia" w:hAnsiTheme="minorEastAsia" w:eastAsiaTheme="minorEastAsia" w:cstheme="minorEastAsia"/>
          <w:bCs/>
          <w:color w:val="auto"/>
          <w:sz w:val="21"/>
          <w:szCs w:val="21"/>
        </w:rPr>
        <w:t>是阶梯式上下双层结构的</w:t>
      </w:r>
      <w:r>
        <w:rPr>
          <w:rFonts w:hint="eastAsia" w:asciiTheme="minorEastAsia" w:hAnsiTheme="minorEastAsia" w:eastAsiaTheme="minorEastAsia" w:cstheme="minorEastAsia"/>
          <w:bCs/>
          <w:color w:val="auto"/>
          <w:sz w:val="21"/>
          <w:szCs w:val="21"/>
          <w:lang w:eastAsia="zh-CN"/>
        </w:rPr>
        <w:t>图书馆</w:t>
      </w:r>
      <w:r>
        <w:rPr>
          <w:rFonts w:hint="eastAsia" w:asciiTheme="minorEastAsia" w:hAnsiTheme="minorEastAsia" w:eastAsiaTheme="minorEastAsia" w:cstheme="minorEastAsia"/>
          <w:bCs/>
          <w:color w:val="auto"/>
          <w:sz w:val="21"/>
          <w:szCs w:val="21"/>
        </w:rPr>
        <w:t>，可容纳500</w:t>
      </w:r>
      <w:r>
        <w:rPr>
          <w:rFonts w:hint="eastAsia" w:asciiTheme="minorEastAsia" w:hAnsiTheme="minorEastAsia" w:eastAsiaTheme="minorEastAsia" w:cstheme="minorEastAsia"/>
          <w:bCs/>
          <w:color w:val="auto"/>
          <w:sz w:val="21"/>
          <w:szCs w:val="21"/>
          <w:lang w:eastAsia="zh-CN"/>
        </w:rPr>
        <w:t>余</w:t>
      </w:r>
      <w:r>
        <w:rPr>
          <w:rFonts w:hint="eastAsia" w:asciiTheme="minorEastAsia" w:hAnsiTheme="minorEastAsia" w:eastAsiaTheme="minorEastAsia" w:cstheme="minorEastAsia"/>
          <w:bCs/>
          <w:color w:val="auto"/>
          <w:sz w:val="21"/>
          <w:szCs w:val="21"/>
        </w:rPr>
        <w:t>名学员，为开展学院教学培训活动的核心场地之一。</w:t>
      </w:r>
      <w:r>
        <w:rPr>
          <w:rFonts w:hint="eastAsia" w:asciiTheme="minorEastAsia" w:hAnsiTheme="minorEastAsia" w:eastAsiaTheme="minorEastAsia" w:cstheme="minorEastAsia"/>
          <w:bCs/>
          <w:color w:val="auto"/>
          <w:sz w:val="21"/>
          <w:szCs w:val="21"/>
          <w:lang w:val="en-US" w:eastAsia="zh-CN"/>
        </w:rPr>
        <w:t>本次报告厅改造所有桌椅利旧，施工时所有桌椅需拆卸、运走、存储，对需要维修的桌椅进行维修，部分桌椅进行改造，在规定时间内将桌椅运回在原位安装。</w:t>
      </w:r>
    </w:p>
    <w:p w14:paraId="59BE7E46">
      <w:pPr>
        <w:pStyle w:val="11"/>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桌椅</w:t>
      </w:r>
      <w:r>
        <w:rPr>
          <w:rFonts w:hint="eastAsia" w:asciiTheme="minorEastAsia" w:hAnsiTheme="minorEastAsia" w:eastAsiaTheme="minorEastAsia" w:cstheme="minorEastAsia"/>
          <w:bCs/>
          <w:color w:val="auto"/>
          <w:sz w:val="21"/>
          <w:szCs w:val="21"/>
        </w:rPr>
        <w:t>位置及数量如下：</w:t>
      </w:r>
    </w:p>
    <w:p w14:paraId="6CB24DBC">
      <w:pPr>
        <w:pStyle w:val="11"/>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一层座椅</w:t>
      </w:r>
      <w:r>
        <w:rPr>
          <w:rFonts w:hint="eastAsia" w:asciiTheme="minorEastAsia" w:hAnsiTheme="minorEastAsia" w:eastAsiaTheme="minorEastAsia" w:cstheme="minorEastAsia"/>
          <w:bCs/>
          <w:color w:val="auto"/>
          <w:sz w:val="21"/>
          <w:szCs w:val="21"/>
          <w:lang w:val="en-US" w:eastAsia="zh-CN"/>
        </w:rPr>
        <w:t>287件，二层座椅264件，一层条桌77件，二层无条桌。所有桌椅运回后在原位安装。</w:t>
      </w:r>
      <w:r>
        <w:rPr>
          <w:rFonts w:hint="eastAsia" w:asciiTheme="minorEastAsia" w:hAnsiTheme="minorEastAsia" w:eastAsiaTheme="minorEastAsia" w:cstheme="minorEastAsia"/>
          <w:bCs/>
          <w:color w:val="auto"/>
          <w:sz w:val="21"/>
          <w:szCs w:val="21"/>
        </w:rPr>
        <w:t xml:space="preserve"> </w:t>
      </w:r>
    </w:p>
    <w:p w14:paraId="2A6ACEB1">
      <w:pPr>
        <w:ind w:firstLine="420"/>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注：</w:t>
      </w:r>
    </w:p>
    <w:p w14:paraId="586AB105">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桌椅拆卸时按行业规范作业，不能野蛮拆卸，避免造成人为毁坏。</w:t>
      </w:r>
    </w:p>
    <w:p w14:paraId="2F2686D5">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桌椅拆卸时，现场先标号后再进行拆卸，拆卸后进行打包包装，打包时外包装标号与内包装号一至。做到原拆原装，单件产品的五金件和原产品打同一包，进行全包裹进行保护。</w:t>
      </w:r>
    </w:p>
    <w:p w14:paraId="55E1CDF9">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打包后的桌椅码放整齐后搬到箱式货车上进行运输，运输时按行业规范码放，防止压伤产品。运输过程中避免磕碰、淋雨。</w:t>
      </w:r>
    </w:p>
    <w:p w14:paraId="19FBB756">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桌椅拉回工厂后需遵照行业专业存放管理规定，由标准仓库存放，做好产品保护，避免潮湿，保证干燥</w:t>
      </w:r>
      <w:r>
        <w:rPr>
          <w:rFonts w:hint="eastAsia" w:asciiTheme="minorEastAsia" w:hAnsiTheme="minorEastAsia" w:eastAsiaTheme="minorEastAsia" w:cstheme="minorEastAsia"/>
          <w:bCs/>
          <w:color w:val="auto"/>
          <w:sz w:val="21"/>
          <w:szCs w:val="21"/>
        </w:rPr>
        <w:t>。</w:t>
      </w:r>
    </w:p>
    <w:p w14:paraId="2BC6ABEA">
      <w:pPr>
        <w:numPr>
          <w:ilvl w:val="0"/>
          <w:numId w:val="3"/>
        </w:numPr>
        <w:jc w:val="left"/>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座椅</w:t>
      </w:r>
      <w:r>
        <w:rPr>
          <w:rFonts w:hint="eastAsia" w:asciiTheme="minorEastAsia" w:hAnsiTheme="minorEastAsia" w:eastAsiaTheme="minorEastAsia" w:cstheme="minorEastAsia"/>
          <w:bCs/>
          <w:color w:val="auto"/>
          <w:sz w:val="21"/>
          <w:szCs w:val="21"/>
          <w:lang w:val="en-US" w:eastAsia="zh-CN"/>
        </w:rPr>
        <w:t>座位面</w:t>
      </w:r>
      <w:r>
        <w:rPr>
          <w:rFonts w:hint="eastAsia" w:asciiTheme="minorEastAsia" w:hAnsiTheme="minorEastAsia" w:eastAsiaTheme="minorEastAsia" w:cstheme="minorEastAsia"/>
          <w:b/>
          <w:bCs w:val="0"/>
          <w:color w:val="auto"/>
          <w:sz w:val="21"/>
          <w:szCs w:val="21"/>
          <w:lang w:val="en-US" w:eastAsia="zh-CN"/>
        </w:rPr>
        <w:t>零部件</w:t>
      </w:r>
      <w:r>
        <w:rPr>
          <w:rFonts w:hint="eastAsia" w:asciiTheme="minorEastAsia" w:hAnsiTheme="minorEastAsia" w:eastAsiaTheme="minorEastAsia" w:cstheme="minorEastAsia"/>
          <w:bCs/>
          <w:color w:val="auto"/>
          <w:sz w:val="21"/>
          <w:szCs w:val="21"/>
          <w:lang w:val="en-US" w:eastAsia="zh-CN"/>
        </w:rPr>
        <w:t>安装时全部更新，安转后高度距离地面达到43cm以上;</w:t>
      </w:r>
      <w:r>
        <w:rPr>
          <w:rFonts w:hint="eastAsia" w:asciiTheme="minorEastAsia" w:hAnsiTheme="minorEastAsia" w:eastAsiaTheme="minorEastAsia" w:cstheme="minorEastAsia"/>
          <w:bCs/>
          <w:color w:val="auto"/>
          <w:sz w:val="21"/>
          <w:szCs w:val="21"/>
          <w:lang w:eastAsia="zh-CN"/>
        </w:rPr>
        <w:t>并把原有上螺丝损伤的木面进行修复后再上螺丝、</w:t>
      </w:r>
      <w:r>
        <w:rPr>
          <w:rFonts w:hint="eastAsia" w:asciiTheme="minorEastAsia" w:hAnsiTheme="minorEastAsia" w:eastAsiaTheme="minorEastAsia" w:cstheme="minorEastAsia"/>
          <w:bCs/>
          <w:color w:val="auto"/>
          <w:sz w:val="21"/>
          <w:szCs w:val="21"/>
          <w:lang w:val="en-US" w:eastAsia="zh-CN"/>
        </w:rPr>
        <w:t>破损处油漆等。</w:t>
      </w:r>
      <w:r>
        <w:rPr>
          <w:rFonts w:hint="eastAsia" w:asciiTheme="minorEastAsia" w:hAnsiTheme="minorEastAsia" w:eastAsiaTheme="minorEastAsia" w:cstheme="minorEastAsia"/>
          <w:bCs/>
          <w:color w:val="auto"/>
          <w:sz w:val="21"/>
          <w:szCs w:val="21"/>
          <w:lang w:eastAsia="zh-CN"/>
        </w:rPr>
        <w:t>五金件采用劲功、坚朗、顶固或其他国内一线品牌。</w:t>
      </w:r>
    </w:p>
    <w:p w14:paraId="431861F5">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座椅底脚松动时，在重新安装时需把之前的螺杆全部更换新。</w:t>
      </w:r>
    </w:p>
    <w:p w14:paraId="734BFF78">
      <w:pPr>
        <w:numPr>
          <w:ilvl w:val="0"/>
          <w:numId w:val="3"/>
        </w:numPr>
        <w:jc w:val="left"/>
        <w:rPr>
          <w:rFonts w:hint="eastAsia" w:asciiTheme="minorEastAsia" w:hAnsiTheme="minorEastAsia" w:eastAsiaTheme="minorEastAsia" w:cstheme="minorEastAsia"/>
          <w:bCs/>
          <w:color w:val="FF0000"/>
          <w:sz w:val="21"/>
          <w:szCs w:val="21"/>
          <w:lang w:eastAsia="zh-CN"/>
        </w:rPr>
      </w:pPr>
      <w:r>
        <w:rPr>
          <w:rFonts w:hint="eastAsia" w:asciiTheme="minorEastAsia" w:hAnsiTheme="minorEastAsia" w:eastAsiaTheme="minorEastAsia" w:cstheme="minorEastAsia"/>
          <w:bCs/>
          <w:color w:val="FF0000"/>
          <w:sz w:val="21"/>
          <w:szCs w:val="21"/>
          <w:lang w:eastAsia="zh-CN"/>
        </w:rPr>
        <w:t>座椅内框架有异响，加固座椅框架。座椅座垫下沉，维修、加固座椅承重结构，座垫达到正常回弹及平整水平。</w:t>
      </w:r>
    </w:p>
    <w:p w14:paraId="188E08DB">
      <w:pPr>
        <w:numPr>
          <w:ilvl w:val="0"/>
          <w:numId w:val="3"/>
        </w:numPr>
        <w:jc w:val="left"/>
        <w:rPr>
          <w:rFonts w:hint="eastAsia" w:asciiTheme="minorEastAsia" w:hAnsiTheme="minorEastAsia" w:eastAsiaTheme="minorEastAsia" w:cstheme="minorEastAsia"/>
          <w:bCs/>
          <w:color w:val="FF0000"/>
          <w:sz w:val="21"/>
          <w:szCs w:val="21"/>
          <w:lang w:eastAsia="zh-CN"/>
        </w:rPr>
      </w:pPr>
      <w:r>
        <w:rPr>
          <w:rFonts w:hint="eastAsia" w:asciiTheme="minorEastAsia" w:hAnsiTheme="minorEastAsia" w:eastAsiaTheme="minorEastAsia" w:cstheme="minorEastAsia"/>
          <w:bCs/>
          <w:color w:val="FF0000"/>
          <w:sz w:val="21"/>
          <w:szCs w:val="21"/>
          <w:lang w:eastAsia="zh-CN"/>
        </w:rPr>
        <w:t>椅座塌陷需要更换轴套和减震垫以及燕鱼螺丝，（每个座椅两个减震垫，两个轴套，四条6*70螺丝四个，配套螺母四个）。</w:t>
      </w:r>
    </w:p>
    <w:p w14:paraId="515E1E1E">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座椅背胎活动时，在重新安装时需把之前背板进行处理，并把背板上的卡扣进行修复固定，不出现松动。</w:t>
      </w:r>
    </w:p>
    <w:p w14:paraId="4D6CF877">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座椅</w:t>
      </w:r>
      <w:r>
        <w:rPr>
          <w:rFonts w:hint="eastAsia" w:asciiTheme="minorEastAsia" w:hAnsiTheme="minorEastAsia" w:eastAsiaTheme="minorEastAsia" w:cstheme="minorEastAsia"/>
          <w:bCs/>
          <w:color w:val="auto"/>
          <w:sz w:val="21"/>
          <w:szCs w:val="21"/>
        </w:rPr>
        <w:t>背座面料</w:t>
      </w:r>
      <w:r>
        <w:rPr>
          <w:rFonts w:hint="eastAsia" w:asciiTheme="minorEastAsia" w:hAnsiTheme="minorEastAsia" w:eastAsiaTheme="minorEastAsia" w:cstheme="minorEastAsia"/>
          <w:bCs/>
          <w:color w:val="auto"/>
          <w:sz w:val="21"/>
          <w:szCs w:val="21"/>
          <w:lang w:eastAsia="zh-CN"/>
        </w:rPr>
        <w:t>安装时</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需</w:t>
      </w:r>
      <w:r>
        <w:rPr>
          <w:rFonts w:hint="eastAsia" w:asciiTheme="minorEastAsia" w:hAnsiTheme="minorEastAsia" w:eastAsiaTheme="minorEastAsia" w:cstheme="minorEastAsia"/>
          <w:bCs/>
          <w:color w:val="auto"/>
          <w:sz w:val="21"/>
          <w:szCs w:val="21"/>
        </w:rPr>
        <w:t>把座椅座板，背板软</w:t>
      </w:r>
      <w:r>
        <w:rPr>
          <w:rFonts w:hint="eastAsia" w:asciiTheme="minorEastAsia" w:hAnsiTheme="minorEastAsia" w:eastAsiaTheme="minorEastAsia" w:cstheme="minorEastAsia"/>
          <w:bCs/>
          <w:color w:val="auto"/>
          <w:sz w:val="21"/>
          <w:szCs w:val="21"/>
          <w:lang w:eastAsia="zh-CN"/>
        </w:rPr>
        <w:t>包</w:t>
      </w:r>
      <w:r>
        <w:rPr>
          <w:rFonts w:hint="eastAsia" w:asciiTheme="minorEastAsia" w:hAnsiTheme="minorEastAsia" w:eastAsiaTheme="minorEastAsia" w:cstheme="minorEastAsia"/>
          <w:bCs/>
          <w:color w:val="auto"/>
          <w:sz w:val="21"/>
          <w:szCs w:val="21"/>
        </w:rPr>
        <w:t>拆下</w:t>
      </w:r>
      <w:r>
        <w:rPr>
          <w:rFonts w:hint="eastAsia" w:asciiTheme="minorEastAsia" w:hAnsiTheme="minorEastAsia" w:eastAsiaTheme="minorEastAsia" w:cstheme="minorEastAsia"/>
          <w:bCs/>
          <w:color w:val="auto"/>
          <w:sz w:val="21"/>
          <w:szCs w:val="21"/>
          <w:lang w:eastAsia="zh-CN"/>
        </w:rPr>
        <w:t>（根据需要）</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做好保护、保持</w:t>
      </w:r>
      <w:r>
        <w:rPr>
          <w:rFonts w:hint="eastAsia" w:asciiTheme="minorEastAsia" w:hAnsiTheme="minorEastAsia" w:eastAsiaTheme="minorEastAsia" w:cstheme="minorEastAsia"/>
          <w:bCs/>
          <w:color w:val="auto"/>
          <w:sz w:val="21"/>
          <w:szCs w:val="21"/>
        </w:rPr>
        <w:t>干后</w:t>
      </w:r>
      <w:r>
        <w:rPr>
          <w:rFonts w:hint="eastAsia" w:asciiTheme="minorEastAsia" w:hAnsiTheme="minorEastAsia" w:eastAsiaTheme="minorEastAsia" w:cstheme="minorEastAsia"/>
          <w:bCs/>
          <w:color w:val="auto"/>
          <w:sz w:val="21"/>
          <w:szCs w:val="21"/>
          <w:lang w:eastAsia="zh-CN"/>
        </w:rPr>
        <w:t>原样装回</w:t>
      </w:r>
      <w:r>
        <w:rPr>
          <w:rFonts w:hint="eastAsia" w:asciiTheme="minorEastAsia" w:hAnsiTheme="minorEastAsia" w:eastAsiaTheme="minorEastAsia" w:cstheme="minorEastAsia"/>
          <w:bCs/>
          <w:color w:val="auto"/>
          <w:sz w:val="21"/>
          <w:szCs w:val="21"/>
        </w:rPr>
        <w:t>。</w:t>
      </w:r>
    </w:p>
    <w:p w14:paraId="42301E2A">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桌椅表面破损需进行油漆维修修复时，需按行业专业程序规定进行打磨，修色，然后进行水性油漆面漆局部喷补，达到修补后无痕状态。一般划伤，需把油漆损伤的面进行填充、修复，打磨，修色，然后进行水性油漆面漆局部喷补，达到修补后无痕状态。严重油漆面破损，需把油漆损伤的面进行补料、填充、修复，打磨，修色，然后进行水性油漆面漆局部喷补，达到修补后无痕状态。</w:t>
      </w:r>
    </w:p>
    <w:p w14:paraId="5E256364">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部分条桌需进行前挡板加长（第一排共计</w:t>
      </w:r>
      <w:r>
        <w:rPr>
          <w:rFonts w:hint="eastAsia" w:asciiTheme="minorEastAsia" w:hAnsiTheme="minorEastAsia" w:eastAsiaTheme="minorEastAsia" w:cstheme="minorEastAsia"/>
          <w:bCs/>
          <w:color w:val="auto"/>
          <w:sz w:val="21"/>
          <w:szCs w:val="21"/>
          <w:lang w:val="en-US" w:eastAsia="zh-CN"/>
        </w:rPr>
        <w:t>7张</w:t>
      </w:r>
      <w:r>
        <w:rPr>
          <w:rFonts w:hint="eastAsia" w:asciiTheme="minorEastAsia" w:hAnsiTheme="minorEastAsia" w:eastAsiaTheme="minorEastAsia" w:cstheme="minorEastAsia"/>
          <w:bCs/>
          <w:color w:val="auto"/>
          <w:sz w:val="21"/>
          <w:szCs w:val="21"/>
          <w:lang w:eastAsia="zh-CN"/>
        </w:rPr>
        <w:t>），作业时需按行业规范程序进行，成品保证美观坚固，与原来板材无色差。一层最后</w:t>
      </w:r>
      <w:r>
        <w:rPr>
          <w:rFonts w:hint="eastAsia" w:asciiTheme="minorEastAsia" w:hAnsiTheme="minorEastAsia" w:eastAsiaTheme="minorEastAsia" w:cstheme="minorEastAsia"/>
          <w:bCs/>
          <w:color w:val="auto"/>
          <w:sz w:val="21"/>
          <w:szCs w:val="21"/>
          <w:lang w:val="en-US" w:eastAsia="zh-CN"/>
        </w:rPr>
        <w:t>5张</w:t>
      </w:r>
      <w:r>
        <w:rPr>
          <w:rFonts w:hint="eastAsia" w:asciiTheme="minorEastAsia" w:hAnsiTheme="minorEastAsia" w:eastAsiaTheme="minorEastAsia" w:cstheme="minorEastAsia"/>
          <w:bCs/>
          <w:color w:val="auto"/>
          <w:sz w:val="21"/>
          <w:szCs w:val="21"/>
          <w:lang w:eastAsia="zh-CN"/>
        </w:rPr>
        <w:t>条桌改短</w:t>
      </w:r>
      <w:r>
        <w:rPr>
          <w:rFonts w:hint="eastAsia" w:asciiTheme="minorEastAsia" w:hAnsiTheme="minorEastAsia" w:eastAsiaTheme="minorEastAsia" w:cstheme="minorEastAsia"/>
          <w:bCs/>
          <w:color w:val="auto"/>
          <w:sz w:val="21"/>
          <w:szCs w:val="21"/>
          <w:lang w:val="en-US" w:eastAsia="zh-CN"/>
        </w:rPr>
        <w:t>，</w:t>
      </w:r>
      <w:r>
        <w:rPr>
          <w:rFonts w:hint="eastAsia" w:ascii="仿宋" w:hAnsi="仿宋" w:eastAsia="仿宋" w:cs="仿宋"/>
          <w:i w:val="0"/>
          <w:iCs w:val="0"/>
          <w:color w:val="auto"/>
          <w:kern w:val="0"/>
          <w:sz w:val="24"/>
          <w:szCs w:val="24"/>
          <w:u w:val="none"/>
          <w:lang w:val="en-US" w:eastAsia="zh-CN" w:bidi="ar"/>
        </w:rPr>
        <w:t>裁短尺寸根据现场而定，相应位置座椅拆除。</w:t>
      </w:r>
    </w:p>
    <w:p w14:paraId="2F378F39">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所有油漆维修，所用油漆必须符合国家相应标准，做到安全环保、无毒无害，阻燃、防烫。维修后与原板材无色差。</w:t>
      </w:r>
    </w:p>
    <w:p w14:paraId="7A1465B0">
      <w:pPr>
        <w:numPr>
          <w:ilvl w:val="0"/>
          <w:numId w:val="3"/>
        </w:numPr>
        <w:jc w:val="left"/>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color w:val="FF0000"/>
          <w:sz w:val="21"/>
          <w:szCs w:val="21"/>
        </w:rPr>
        <w:t>采用油漆符合GB 18581-2020《木器涂料中有害物质限量》标准要求。维修完成后漆膜质量符合GB/T 3324-2024《木家具通用技术条件》标准要求</w:t>
      </w:r>
      <w:r>
        <w:rPr>
          <w:rFonts w:hint="eastAsia" w:asciiTheme="minorEastAsia" w:hAnsiTheme="minorEastAsia" w:eastAsiaTheme="minorEastAsia" w:cstheme="minorEastAsia"/>
          <w:bCs/>
          <w:color w:val="FF0000"/>
          <w:sz w:val="21"/>
          <w:szCs w:val="21"/>
          <w:lang w:eastAsia="zh-CN"/>
        </w:rPr>
        <w:t>。油漆品牌选用</w:t>
      </w:r>
      <w:r>
        <w:rPr>
          <w:rFonts w:hint="eastAsia" w:asciiTheme="minorEastAsia" w:hAnsiTheme="minorEastAsia" w:eastAsiaTheme="minorEastAsia" w:cstheme="minorEastAsia"/>
          <w:bCs/>
          <w:color w:val="FF0000"/>
          <w:sz w:val="21"/>
          <w:szCs w:val="21"/>
        </w:rPr>
        <w:t>嘉宝莉</w:t>
      </w:r>
      <w:r>
        <w:rPr>
          <w:rFonts w:hint="eastAsia" w:asciiTheme="minorEastAsia" w:hAnsiTheme="minorEastAsia" w:eastAsiaTheme="minorEastAsia" w:cstheme="minorEastAsia"/>
          <w:bCs/>
          <w:color w:val="FF0000"/>
          <w:sz w:val="21"/>
          <w:szCs w:val="21"/>
          <w:lang w:eastAsia="zh-CN"/>
        </w:rPr>
        <w:t>或其他国内一线品牌。</w:t>
      </w:r>
    </w:p>
    <w:p w14:paraId="12E624DB">
      <w:pPr>
        <w:numPr>
          <w:ilvl w:val="0"/>
          <w:numId w:val="3"/>
        </w:numPr>
        <w:jc w:val="left"/>
        <w:rPr>
          <w:rFonts w:hint="eastAsia" w:asciiTheme="minorEastAsia" w:hAnsiTheme="minorEastAsia" w:eastAsiaTheme="minorEastAsia" w:cstheme="minorEastAsia"/>
          <w:bCs/>
          <w:color w:val="FF0000"/>
          <w:sz w:val="21"/>
          <w:szCs w:val="21"/>
          <w:lang w:eastAsia="zh-CN"/>
        </w:rPr>
      </w:pPr>
      <w:r>
        <w:rPr>
          <w:rFonts w:hint="eastAsia" w:asciiTheme="minorEastAsia" w:hAnsiTheme="minorEastAsia" w:eastAsiaTheme="minorEastAsia" w:cstheme="minorEastAsia"/>
          <w:bCs/>
          <w:color w:val="FF0000"/>
          <w:sz w:val="21"/>
          <w:szCs w:val="21"/>
          <w:lang w:val="en-US" w:eastAsia="zh-CN"/>
        </w:rPr>
        <w:t>排椅椅面(布套）清洗。</w:t>
      </w:r>
      <w:r>
        <w:rPr>
          <w:rFonts w:hint="eastAsia" w:asciiTheme="minorEastAsia" w:hAnsiTheme="minorEastAsia" w:eastAsiaTheme="minorEastAsia" w:cstheme="minorEastAsia"/>
          <w:bCs/>
          <w:color w:val="FF0000"/>
          <w:sz w:val="21"/>
          <w:szCs w:val="21"/>
          <w:lang w:eastAsia="zh-CN"/>
        </w:rPr>
        <w:t>二层座椅264件</w:t>
      </w:r>
      <w:r>
        <w:rPr>
          <w:rFonts w:hint="eastAsia" w:asciiTheme="minorEastAsia" w:hAnsiTheme="minorEastAsia" w:eastAsiaTheme="minorEastAsia" w:cstheme="minorEastAsia"/>
          <w:bCs/>
          <w:color w:val="FF0000"/>
          <w:sz w:val="21"/>
          <w:szCs w:val="21"/>
          <w:lang w:val="en-US" w:eastAsia="zh-CN"/>
        </w:rPr>
        <w:t>排椅椅面(布套）需清洗，并恢复。</w:t>
      </w:r>
    </w:p>
    <w:p w14:paraId="1C39C324">
      <w:pPr>
        <w:numPr>
          <w:ilvl w:val="0"/>
          <w:numId w:val="3"/>
        </w:numPr>
        <w:jc w:val="left"/>
        <w:rPr>
          <w:rFonts w:hint="eastAsia" w:asciiTheme="minorEastAsia" w:hAnsiTheme="minorEastAsia" w:eastAsiaTheme="minorEastAsia" w:cstheme="minorEastAsia"/>
          <w:bCs/>
          <w:color w:val="FF0000"/>
          <w:sz w:val="21"/>
          <w:szCs w:val="21"/>
        </w:rPr>
      </w:pPr>
      <w:r>
        <w:rPr>
          <w:rFonts w:hint="eastAsia" w:asciiTheme="minorEastAsia" w:hAnsiTheme="minorEastAsia" w:eastAsiaTheme="minorEastAsia" w:cstheme="minorEastAsia"/>
          <w:bCs/>
          <w:color w:val="FF0000"/>
          <w:sz w:val="21"/>
          <w:szCs w:val="21"/>
        </w:rPr>
        <w:t>清洗后需符合GB/T 35744-2017《公用纺织品清洗质量要求》</w:t>
      </w:r>
      <w:r>
        <w:rPr>
          <w:rFonts w:hint="eastAsia" w:asciiTheme="minorEastAsia" w:hAnsiTheme="minorEastAsia" w:eastAsiaTheme="minorEastAsia" w:cstheme="minorEastAsia"/>
          <w:bCs/>
          <w:color w:val="FF0000"/>
          <w:sz w:val="21"/>
          <w:szCs w:val="21"/>
          <w:lang w:eastAsia="zh-CN"/>
        </w:rPr>
        <w:t>，不得出现异味或布面明显损坏。</w:t>
      </w:r>
    </w:p>
    <w:p w14:paraId="3F0EA506">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所有桌椅需按原位安装，做到个体无晃动，整体整齐划一。</w:t>
      </w:r>
    </w:p>
    <w:p w14:paraId="0A0A2E09">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投标方需承诺</w:t>
      </w:r>
      <w:r>
        <w:rPr>
          <w:rFonts w:hint="eastAsia" w:asciiTheme="minorEastAsia" w:hAnsiTheme="minorEastAsia" w:eastAsiaTheme="minorEastAsia" w:cstheme="minorEastAsia"/>
          <w:bCs/>
          <w:color w:val="auto"/>
          <w:sz w:val="21"/>
          <w:szCs w:val="21"/>
          <w:lang w:eastAsia="zh-CN"/>
        </w:rPr>
        <w:t>在质保期内出现任何问题免费维修。</w:t>
      </w:r>
      <w:r>
        <w:rPr>
          <w:rFonts w:hint="eastAsia" w:asciiTheme="minorEastAsia" w:hAnsiTheme="minorEastAsia" w:eastAsiaTheme="minorEastAsia" w:cstheme="minorEastAsia"/>
          <w:bCs/>
          <w:color w:val="auto"/>
          <w:sz w:val="21"/>
          <w:szCs w:val="21"/>
        </w:rPr>
        <w:t>重大问题4小时解决，一般问题8小时解决。</w:t>
      </w:r>
      <w:r>
        <w:rPr>
          <w:rFonts w:hint="eastAsia" w:asciiTheme="minorEastAsia" w:hAnsiTheme="minorEastAsia" w:eastAsiaTheme="minorEastAsia" w:cstheme="minorEastAsia"/>
          <w:bCs/>
          <w:color w:val="auto"/>
          <w:sz w:val="21"/>
          <w:szCs w:val="21"/>
          <w:lang w:eastAsia="zh-CN"/>
        </w:rPr>
        <w:t>超过质保期出现问题，由双方商定解决。</w:t>
      </w:r>
    </w:p>
    <w:p w14:paraId="4899A86D">
      <w:pPr>
        <w:numPr>
          <w:ilvl w:val="0"/>
          <w:numId w:val="3"/>
        </w:numPr>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投标方需</w:t>
      </w:r>
      <w:r>
        <w:rPr>
          <w:rFonts w:hint="eastAsia" w:asciiTheme="minorEastAsia" w:hAnsiTheme="minorEastAsia" w:eastAsiaTheme="minorEastAsia" w:cstheme="minorEastAsia"/>
          <w:bCs/>
          <w:color w:val="auto"/>
          <w:sz w:val="21"/>
          <w:szCs w:val="21"/>
        </w:rPr>
        <w:t>承诺不分包、不转包</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由投标</w:t>
      </w:r>
      <w:r>
        <w:rPr>
          <w:rFonts w:hint="eastAsia" w:asciiTheme="minorEastAsia" w:hAnsiTheme="minorEastAsia" w:eastAsiaTheme="minorEastAsia" w:cstheme="minorEastAsia"/>
          <w:bCs/>
          <w:color w:val="auto"/>
          <w:sz w:val="21"/>
          <w:szCs w:val="21"/>
          <w:lang w:eastAsia="zh-CN"/>
        </w:rPr>
        <w:t>方</w:t>
      </w:r>
      <w:r>
        <w:rPr>
          <w:rFonts w:hint="eastAsia" w:asciiTheme="minorEastAsia" w:hAnsiTheme="minorEastAsia" w:eastAsiaTheme="minorEastAsia" w:cstheme="minorEastAsia"/>
          <w:bCs/>
          <w:color w:val="auto"/>
          <w:sz w:val="21"/>
          <w:szCs w:val="21"/>
        </w:rPr>
        <w:t>原因造成的工期延误，投标人应赔偿损失</w:t>
      </w:r>
      <w:r>
        <w:rPr>
          <w:rFonts w:hint="eastAsia" w:asciiTheme="minorEastAsia" w:hAnsiTheme="minorEastAsia" w:eastAsiaTheme="minorEastAsia" w:cstheme="minorEastAsia"/>
          <w:bCs/>
          <w:color w:val="auto"/>
          <w:sz w:val="21"/>
          <w:szCs w:val="21"/>
          <w:lang w:eastAsia="zh-CN"/>
        </w:rPr>
        <w:t>。</w:t>
      </w:r>
    </w:p>
    <w:p w14:paraId="2F43348C">
      <w:pPr>
        <w:ind w:firstLine="420" w:firstLineChars="200"/>
        <w:rPr>
          <w:rFonts w:hint="eastAsia" w:ascii="宋体" w:hAnsi="宋体"/>
          <w:color w:val="auto"/>
          <w:lang w:eastAsia="zh-CN"/>
        </w:rPr>
      </w:pPr>
    </w:p>
    <w:p w14:paraId="3973D8A3">
      <w:pPr>
        <w:ind w:firstLine="420" w:firstLineChars="200"/>
        <w:rPr>
          <w:rFonts w:hint="eastAsia" w:ascii="宋体" w:hAnsi="宋体"/>
          <w:color w:val="auto"/>
          <w:lang w:eastAsia="zh-CN"/>
        </w:rPr>
      </w:pPr>
      <w:r>
        <w:rPr>
          <w:rFonts w:hint="eastAsia" w:ascii="宋体" w:hAnsi="宋体"/>
          <w:color w:val="auto"/>
          <w:lang w:eastAsia="zh-CN"/>
        </w:rPr>
        <w:t>清洗后需符合GB/T 35744-2017《公用纺织品清洗质量要求》</w:t>
      </w:r>
    </w:p>
    <w:p w14:paraId="618DD309">
      <w:pPr>
        <w:ind w:firstLine="420" w:firstLineChars="200"/>
        <w:rPr>
          <w:rFonts w:hint="eastAsia" w:ascii="宋体" w:hAnsi="宋体"/>
          <w:color w:val="auto"/>
          <w:lang w:val="en-US" w:eastAsia="zh-CN"/>
        </w:rPr>
      </w:pPr>
    </w:p>
    <w:p w14:paraId="7995FC50">
      <w:pPr>
        <w:ind w:firstLine="420" w:firstLineChars="200"/>
        <w:rPr>
          <w:rFonts w:hint="eastAsia" w:ascii="宋体" w:hAnsi="宋体"/>
          <w:color w:val="auto"/>
          <w:lang w:val="en-US" w:eastAsia="zh-CN"/>
        </w:rPr>
      </w:pPr>
    </w:p>
    <w:p w14:paraId="2CF9368D">
      <w:pPr>
        <w:ind w:firstLine="420" w:firstLineChars="200"/>
        <w:rPr>
          <w:rFonts w:hint="eastAsia" w:ascii="宋体" w:hAnsi="宋体"/>
          <w:color w:val="auto"/>
          <w:lang w:val="en-US" w:eastAsia="zh-CN"/>
        </w:rPr>
      </w:pPr>
    </w:p>
    <w:p w14:paraId="48F6BAC1">
      <w:pPr>
        <w:ind w:firstLine="420" w:firstLineChars="200"/>
        <w:rPr>
          <w:rFonts w:hint="eastAsia" w:ascii="宋体" w:hAnsi="宋体"/>
          <w:color w:val="auto"/>
          <w:lang w:val="en-US" w:eastAsia="zh-CN"/>
        </w:rPr>
      </w:pPr>
    </w:p>
    <w:p w14:paraId="618B3DE1">
      <w:pPr>
        <w:ind w:firstLine="420" w:firstLineChars="200"/>
        <w:rPr>
          <w:rFonts w:hint="eastAsia" w:ascii="宋体" w:hAnsi="宋体"/>
          <w:color w:val="auto"/>
          <w:lang w:val="en-US" w:eastAsia="zh-CN"/>
        </w:rPr>
      </w:pPr>
    </w:p>
    <w:p w14:paraId="51DE51AF">
      <w:pPr>
        <w:ind w:firstLine="420" w:firstLineChars="200"/>
        <w:rPr>
          <w:rFonts w:hint="eastAsia" w:ascii="宋体" w:hAnsi="宋体"/>
          <w:color w:val="auto"/>
          <w:lang w:val="en-US" w:eastAsia="zh-CN"/>
        </w:rPr>
      </w:pPr>
    </w:p>
    <w:p w14:paraId="1FE6CD86">
      <w:pPr>
        <w:ind w:firstLine="420" w:firstLineChars="200"/>
        <w:rPr>
          <w:rFonts w:hint="eastAsia" w:ascii="宋体" w:hAnsi="宋体"/>
          <w:color w:val="auto"/>
          <w:lang w:val="en-US" w:eastAsia="zh-CN"/>
        </w:rPr>
      </w:pPr>
    </w:p>
    <w:p w14:paraId="618B6E2C">
      <w:pPr>
        <w:ind w:firstLine="420" w:firstLineChars="200"/>
        <w:rPr>
          <w:rFonts w:hint="eastAsia" w:ascii="宋体" w:hAnsi="宋体"/>
          <w:color w:val="auto"/>
          <w:lang w:val="en-US" w:eastAsia="zh-CN"/>
        </w:rPr>
      </w:pPr>
    </w:p>
    <w:p w14:paraId="7D886BD7">
      <w:pPr>
        <w:ind w:firstLine="420" w:firstLineChars="200"/>
        <w:rPr>
          <w:rFonts w:hint="eastAsia" w:ascii="宋体" w:hAnsi="宋体"/>
          <w:color w:val="auto"/>
          <w:lang w:val="en-US" w:eastAsia="zh-CN"/>
        </w:rPr>
      </w:pPr>
    </w:p>
    <w:p w14:paraId="757C483C">
      <w:pPr>
        <w:ind w:firstLine="420" w:firstLineChars="200"/>
        <w:rPr>
          <w:rFonts w:hint="eastAsia" w:ascii="宋体" w:hAnsi="宋体"/>
          <w:color w:val="auto"/>
          <w:lang w:val="en-US" w:eastAsia="zh-CN"/>
        </w:rPr>
      </w:pPr>
    </w:p>
    <w:p w14:paraId="55C872C5">
      <w:pPr>
        <w:ind w:firstLine="420" w:firstLineChars="200"/>
        <w:rPr>
          <w:rFonts w:hint="eastAsia" w:ascii="宋体" w:hAnsi="宋体"/>
          <w:color w:val="auto"/>
          <w:lang w:val="en-US" w:eastAsia="zh-CN"/>
        </w:rPr>
      </w:pPr>
    </w:p>
    <w:p w14:paraId="1731A4BA">
      <w:pPr>
        <w:ind w:firstLine="420" w:firstLineChars="200"/>
        <w:rPr>
          <w:rFonts w:hint="eastAsia" w:ascii="宋体" w:hAnsi="宋体"/>
          <w:color w:val="auto"/>
          <w:lang w:val="en-US" w:eastAsia="zh-CN"/>
        </w:rPr>
      </w:pPr>
    </w:p>
    <w:p w14:paraId="4C690FA2">
      <w:pPr>
        <w:ind w:firstLine="420" w:firstLineChars="200"/>
        <w:rPr>
          <w:rFonts w:hint="eastAsia" w:ascii="宋体" w:hAnsi="宋体"/>
          <w:color w:val="auto"/>
          <w:lang w:val="en-US" w:eastAsia="zh-CN"/>
        </w:rPr>
      </w:pPr>
    </w:p>
    <w:p w14:paraId="24AE4DB7">
      <w:pPr>
        <w:ind w:firstLine="420" w:firstLineChars="200"/>
        <w:rPr>
          <w:rFonts w:hint="eastAsia" w:ascii="宋体" w:hAnsi="宋体"/>
          <w:color w:val="auto"/>
          <w:lang w:val="en-US" w:eastAsia="zh-CN"/>
        </w:rPr>
      </w:pPr>
    </w:p>
    <w:p w14:paraId="50DC9A18">
      <w:pPr>
        <w:ind w:firstLine="420" w:firstLineChars="200"/>
        <w:rPr>
          <w:rFonts w:hint="eastAsia" w:ascii="宋体" w:hAnsi="宋体"/>
          <w:color w:val="auto"/>
          <w:lang w:val="en-US" w:eastAsia="zh-CN"/>
        </w:rPr>
      </w:pPr>
    </w:p>
    <w:p w14:paraId="58613F5A">
      <w:pPr>
        <w:ind w:firstLine="420" w:firstLineChars="200"/>
        <w:rPr>
          <w:rFonts w:hint="eastAsia" w:ascii="宋体" w:hAnsi="宋体"/>
          <w:color w:val="auto"/>
          <w:lang w:val="en-US" w:eastAsia="zh-CN"/>
        </w:rPr>
      </w:pPr>
    </w:p>
    <w:p w14:paraId="45E838D9">
      <w:pPr>
        <w:ind w:firstLine="420" w:firstLineChars="200"/>
        <w:rPr>
          <w:rFonts w:hint="eastAsia" w:ascii="宋体" w:hAnsi="宋体"/>
          <w:color w:val="auto"/>
          <w:lang w:val="en-US" w:eastAsia="zh-CN"/>
        </w:rPr>
      </w:pPr>
    </w:p>
    <w:p w14:paraId="6CA469EA">
      <w:pPr>
        <w:ind w:firstLine="420" w:firstLineChars="200"/>
        <w:rPr>
          <w:rFonts w:hint="eastAsia" w:ascii="宋体" w:hAnsi="宋体"/>
          <w:color w:val="auto"/>
          <w:lang w:val="en-US" w:eastAsia="zh-CN"/>
        </w:rPr>
      </w:pPr>
    </w:p>
    <w:p w14:paraId="69049F17">
      <w:pPr>
        <w:ind w:firstLine="420" w:firstLineChars="200"/>
        <w:rPr>
          <w:rFonts w:hint="eastAsia" w:ascii="宋体" w:hAnsi="宋体"/>
          <w:color w:val="auto"/>
          <w:lang w:val="en-US" w:eastAsia="zh-CN"/>
        </w:rPr>
      </w:pPr>
    </w:p>
    <w:p w14:paraId="5BBF2F92">
      <w:pPr>
        <w:ind w:firstLine="420" w:firstLineChars="200"/>
        <w:rPr>
          <w:rFonts w:hint="eastAsia" w:ascii="宋体" w:hAnsi="宋体"/>
          <w:color w:val="auto"/>
          <w:lang w:val="en-US" w:eastAsia="zh-CN"/>
        </w:rPr>
      </w:pPr>
    </w:p>
    <w:p w14:paraId="5964B41F">
      <w:pPr>
        <w:ind w:firstLine="420" w:firstLineChars="200"/>
        <w:rPr>
          <w:rFonts w:hint="eastAsia" w:ascii="宋体" w:hAnsi="宋体"/>
          <w:color w:val="auto"/>
          <w:lang w:val="en-US" w:eastAsia="zh-CN"/>
        </w:rPr>
      </w:pPr>
    </w:p>
    <w:p w14:paraId="798D8A68">
      <w:pPr>
        <w:ind w:firstLine="420" w:firstLineChars="200"/>
        <w:rPr>
          <w:rFonts w:hint="eastAsia" w:ascii="宋体" w:hAnsi="宋体"/>
          <w:color w:val="auto"/>
          <w:lang w:val="en-US" w:eastAsia="zh-CN"/>
        </w:rPr>
      </w:pPr>
    </w:p>
    <w:p w14:paraId="6DB25C0D">
      <w:pPr>
        <w:ind w:firstLine="420" w:firstLineChars="200"/>
        <w:rPr>
          <w:rFonts w:hint="eastAsia" w:ascii="宋体" w:hAnsi="宋体"/>
          <w:color w:val="auto"/>
          <w:lang w:val="en-US" w:eastAsia="zh-CN"/>
        </w:rPr>
      </w:pPr>
    </w:p>
    <w:p w14:paraId="33381413">
      <w:pPr>
        <w:ind w:firstLine="420" w:firstLineChars="200"/>
        <w:rPr>
          <w:rFonts w:hint="eastAsia" w:ascii="宋体" w:hAnsi="宋体"/>
          <w:color w:val="auto"/>
          <w:lang w:val="en-US" w:eastAsia="zh-CN"/>
        </w:rPr>
      </w:pPr>
    </w:p>
    <w:p w14:paraId="6AC94BC1">
      <w:pPr>
        <w:ind w:firstLine="420" w:firstLineChars="200"/>
        <w:rPr>
          <w:rFonts w:hint="eastAsia" w:ascii="宋体" w:hAnsi="宋体"/>
          <w:color w:val="auto"/>
          <w:lang w:val="en-US" w:eastAsia="zh-CN"/>
        </w:rPr>
      </w:pPr>
    </w:p>
    <w:p w14:paraId="11968236">
      <w:pPr>
        <w:ind w:firstLine="420" w:firstLineChars="200"/>
        <w:rPr>
          <w:rFonts w:hint="eastAsia" w:ascii="宋体" w:hAnsi="宋体"/>
          <w:color w:val="auto"/>
          <w:lang w:val="en-US" w:eastAsia="zh-CN"/>
        </w:rPr>
      </w:pPr>
    </w:p>
    <w:p w14:paraId="25FED5AC">
      <w:pPr>
        <w:ind w:firstLine="420" w:firstLineChars="200"/>
        <w:rPr>
          <w:rFonts w:hint="eastAsia" w:ascii="宋体" w:hAnsi="宋体"/>
          <w:color w:val="auto"/>
          <w:lang w:val="en-US" w:eastAsia="zh-CN"/>
        </w:rPr>
      </w:pPr>
    </w:p>
    <w:p w14:paraId="7902F511">
      <w:pPr>
        <w:rPr>
          <w:rFonts w:hint="eastAsia" w:ascii="宋体" w:hAnsi="宋体"/>
          <w:color w:val="auto"/>
          <w:lang w:val="en-US" w:eastAsia="zh-CN"/>
        </w:rPr>
      </w:pPr>
    </w:p>
    <w:p w14:paraId="2369C9BE">
      <w:pPr>
        <w:rPr>
          <w:rFonts w:hint="eastAsia" w:ascii="宋体" w:hAnsi="宋体"/>
          <w:color w:val="auto"/>
          <w:lang w:val="en-US" w:eastAsia="zh-CN"/>
        </w:rPr>
      </w:pPr>
    </w:p>
    <w:p w14:paraId="3574E82F">
      <w:pPr>
        <w:rPr>
          <w:rFonts w:hint="eastAsia" w:ascii="宋体" w:hAnsi="宋体"/>
          <w:color w:val="auto"/>
          <w:lang w:val="en-US" w:eastAsia="zh-CN"/>
        </w:rPr>
      </w:pPr>
    </w:p>
    <w:p w14:paraId="354443DD">
      <w:pPr>
        <w:rPr>
          <w:rFonts w:hint="eastAsia" w:ascii="宋体" w:hAnsi="宋体"/>
          <w:color w:val="auto"/>
          <w:lang w:val="en-US" w:eastAsia="zh-CN"/>
        </w:rPr>
      </w:pPr>
    </w:p>
    <w:p w14:paraId="42BD001B">
      <w:pPr>
        <w:rPr>
          <w:rFonts w:hint="eastAsia" w:ascii="宋体" w:hAnsi="宋体"/>
          <w:color w:val="auto"/>
          <w:lang w:eastAsia="zh-CN"/>
        </w:rPr>
      </w:pPr>
      <w:r>
        <w:rPr>
          <w:rFonts w:hint="eastAsia" w:ascii="宋体" w:hAnsi="宋体"/>
          <w:color w:val="auto"/>
          <w:lang w:val="en-US" w:eastAsia="zh-CN"/>
        </w:rPr>
        <w:t>1.2</w:t>
      </w:r>
      <w:r>
        <w:rPr>
          <w:rFonts w:hint="eastAsia" w:ascii="宋体" w:hAnsi="宋体"/>
          <w:color w:val="auto"/>
          <w:lang w:eastAsia="zh-CN"/>
        </w:rPr>
        <w:t>项目工作内容统计及报价明细</w:t>
      </w:r>
    </w:p>
    <w:p w14:paraId="6E90536D">
      <w:pPr>
        <w:rPr>
          <w:rFonts w:hint="eastAsia" w:ascii="宋体" w:hAnsi="宋体"/>
          <w:color w:val="auto"/>
          <w:lang w:eastAsia="zh-CN"/>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1604"/>
        <w:gridCol w:w="738"/>
        <w:gridCol w:w="900"/>
        <w:gridCol w:w="3100"/>
        <w:gridCol w:w="1339"/>
      </w:tblGrid>
      <w:tr w14:paraId="526C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214" w:type="pct"/>
            <w:gridSpan w:val="5"/>
            <w:tcBorders>
              <w:top w:val="nil"/>
              <w:left w:val="nil"/>
              <w:bottom w:val="nil"/>
              <w:right w:val="nil"/>
            </w:tcBorders>
            <w:shd w:val="clear" w:color="auto" w:fill="auto"/>
            <w:noWrap/>
            <w:vAlign w:val="center"/>
          </w:tcPr>
          <w:p w14:paraId="3D11E0CA">
            <w:pPr>
              <w:keepNext w:val="0"/>
              <w:keepLines w:val="0"/>
              <w:widowControl/>
              <w:suppressLineNumbers w:val="0"/>
              <w:jc w:val="center"/>
              <w:textAlignment w:val="center"/>
              <w:rPr>
                <w:rFonts w:hint="eastAsia" w:ascii="宋体" w:hAnsi="宋体" w:eastAsia="宋体" w:cs="宋体"/>
                <w:b/>
                <w:bCs/>
                <w:i w:val="0"/>
                <w:iCs w:val="0"/>
                <w:color w:val="FF0000"/>
                <w:sz w:val="40"/>
                <w:szCs w:val="40"/>
                <w:u w:val="none"/>
              </w:rPr>
            </w:pPr>
            <w:r>
              <w:rPr>
                <w:rFonts w:hint="eastAsia" w:ascii="宋体" w:hAnsi="宋体" w:cs="宋体"/>
                <w:b/>
                <w:bCs/>
                <w:i w:val="0"/>
                <w:iCs w:val="0"/>
                <w:color w:val="FF0000"/>
                <w:kern w:val="0"/>
                <w:sz w:val="40"/>
                <w:szCs w:val="40"/>
                <w:u w:val="none"/>
                <w:lang w:val="en-US" w:eastAsia="zh-CN" w:bidi="ar"/>
              </w:rPr>
              <w:t>图书馆</w:t>
            </w:r>
            <w:r>
              <w:rPr>
                <w:rFonts w:hint="eastAsia" w:ascii="宋体" w:hAnsi="宋体" w:eastAsia="宋体" w:cs="宋体"/>
                <w:b/>
                <w:bCs/>
                <w:i w:val="0"/>
                <w:iCs w:val="0"/>
                <w:color w:val="FF0000"/>
                <w:kern w:val="0"/>
                <w:sz w:val="40"/>
                <w:szCs w:val="40"/>
                <w:u w:val="none"/>
                <w:lang w:val="en-US" w:eastAsia="zh-CN" w:bidi="ar"/>
              </w:rPr>
              <w:t>桌椅维修</w:t>
            </w:r>
            <w:r>
              <w:rPr>
                <w:rFonts w:hint="eastAsia" w:ascii="宋体" w:hAnsi="宋体" w:cs="宋体"/>
                <w:b/>
                <w:bCs/>
                <w:i w:val="0"/>
                <w:iCs w:val="0"/>
                <w:color w:val="FF0000"/>
                <w:kern w:val="0"/>
                <w:sz w:val="40"/>
                <w:szCs w:val="40"/>
                <w:u w:val="none"/>
                <w:lang w:val="en-US" w:eastAsia="zh-CN" w:bidi="ar"/>
              </w:rPr>
              <w:t>报价表</w:t>
            </w:r>
          </w:p>
        </w:tc>
        <w:tc>
          <w:tcPr>
            <w:tcW w:w="785" w:type="pct"/>
            <w:tcBorders>
              <w:top w:val="nil"/>
              <w:left w:val="nil"/>
              <w:bottom w:val="nil"/>
              <w:right w:val="nil"/>
            </w:tcBorders>
            <w:shd w:val="clear" w:color="auto" w:fill="auto"/>
            <w:noWrap/>
            <w:vAlign w:val="center"/>
          </w:tcPr>
          <w:p w14:paraId="14912E68">
            <w:pPr>
              <w:keepNext w:val="0"/>
              <w:keepLines w:val="0"/>
              <w:widowControl/>
              <w:suppressLineNumbers w:val="0"/>
              <w:jc w:val="center"/>
              <w:textAlignment w:val="center"/>
              <w:rPr>
                <w:rFonts w:hint="eastAsia" w:ascii="宋体" w:hAnsi="宋体" w:cs="宋体"/>
                <w:b/>
                <w:bCs/>
                <w:i w:val="0"/>
                <w:iCs w:val="0"/>
                <w:color w:val="FF0000"/>
                <w:kern w:val="0"/>
                <w:sz w:val="40"/>
                <w:szCs w:val="40"/>
                <w:u w:val="none"/>
                <w:lang w:val="en-US" w:eastAsia="zh-CN" w:bidi="ar"/>
              </w:rPr>
            </w:pPr>
          </w:p>
        </w:tc>
      </w:tr>
      <w:tr w14:paraId="37C8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34EF">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F5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维修名称</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88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78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CD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F5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报价</w:t>
            </w:r>
          </w:p>
        </w:tc>
      </w:tr>
      <w:tr w14:paraId="1FD5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13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12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条桌挡板延长</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68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A1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2F3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第一排7张桌子前挡板延长至地面</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634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34C8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11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CB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条桌改短</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BA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8F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02C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最后一排5张桌子改短，裁短尺寸根据现场而定，相应位置座椅拆除。</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7DE9">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2206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2A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0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条桌维修</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21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6F2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88</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90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所有条桌共88张，桌面破损处油漆等维修</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C8B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4AA9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3F1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ED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排椅维修</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92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69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551</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DA61">
            <w:pPr>
              <w:numPr>
                <w:ilvl w:val="0"/>
                <w:numId w:val="0"/>
              </w:numPr>
              <w:ind w:leftChars="0"/>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两层所有座椅共551把（以实际维修量为准）。座椅内框架有异响，加固座椅框架。座椅座垫下沉，维修、加固座椅承重结构，座垫达到正常回弹及平整水平。</w:t>
            </w:r>
          </w:p>
          <w:p w14:paraId="22C629E3">
            <w:pPr>
              <w:numPr>
                <w:ilvl w:val="0"/>
                <w:numId w:val="0"/>
              </w:numPr>
              <w:ind w:leftChars="0"/>
              <w:jc w:val="lef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椅座塌陷需要更换轴套和减震垫以及燕鱼螺丝，（每个座椅两个减震垫，两个轴套，四条6*70螺丝四个，配套螺母四个）。</w:t>
            </w:r>
          </w:p>
          <w:p w14:paraId="07CEC522">
            <w:pPr>
              <w:numPr>
                <w:ilvl w:val="0"/>
                <w:numId w:val="0"/>
              </w:numPr>
              <w:ind w:leftChars="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;座椅破损处油漆等维修。</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3F9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5E85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D3B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91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olor w:val="000000"/>
                <w:kern w:val="0"/>
                <w:sz w:val="24"/>
                <w:szCs w:val="24"/>
                <w:lang w:val="en-US" w:eastAsia="zh-CN"/>
              </w:rPr>
              <w:t>排椅椅面(布套）清洗</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CB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把</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30F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264</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A3031">
            <w:pPr>
              <w:widowControl/>
              <w:jc w:val="lef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二层座椅264件</w:t>
            </w:r>
            <w:r>
              <w:rPr>
                <w:rFonts w:hint="eastAsia" w:ascii="仿宋" w:hAnsi="仿宋" w:eastAsia="仿宋"/>
                <w:color w:val="000000"/>
                <w:kern w:val="0"/>
                <w:sz w:val="24"/>
                <w:szCs w:val="24"/>
                <w:lang w:val="en-US" w:eastAsia="zh-CN"/>
              </w:rPr>
              <w:t>排椅椅面(布套）需拆卸、清洗，并恢复。</w:t>
            </w:r>
          </w:p>
          <w:p w14:paraId="35DB2E8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BFA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742E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5F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51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条桌拆卸、储存、运输、安装</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C5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EB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88</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498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所有条桌共88张，拆卸维修、储存、原位安装，拆除、安装时注意保护。</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6E87">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0DA4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55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0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座椅拆卸、储存、运输、安装</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D3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B2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551</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9C8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所有座椅共551把，拆卸维修、储存、原位安装（固定座椅的螺丝、螺母及其他产生的费用包含在内）。</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DEA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595E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BE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179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10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70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总价</w:t>
            </w:r>
          </w:p>
        </w:tc>
        <w:tc>
          <w:tcPr>
            <w:tcW w:w="1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8E64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275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0F00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14" w:type="pct"/>
            <w:gridSpan w:val="5"/>
            <w:tcBorders>
              <w:top w:val="nil"/>
              <w:left w:val="nil"/>
              <w:bottom w:val="nil"/>
              <w:right w:val="nil"/>
            </w:tcBorders>
            <w:shd w:val="clear" w:color="auto" w:fill="auto"/>
            <w:noWrap/>
            <w:vAlign w:val="center"/>
          </w:tcPr>
          <w:p w14:paraId="3C32F92B">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17145"/>
                  <wp:effectExtent l="0" t="0" r="0" b="0"/>
                  <wp:wrapNone/>
                  <wp:docPr id="6" name="Picture_14"/>
                  <wp:cNvGraphicFramePr/>
                  <a:graphic xmlns:a="http://schemas.openxmlformats.org/drawingml/2006/main">
                    <a:graphicData uri="http://schemas.openxmlformats.org/drawingml/2006/picture">
                      <pic:pic xmlns:pic="http://schemas.openxmlformats.org/drawingml/2006/picture">
                        <pic:nvPicPr>
                          <pic:cNvPr id="6" name="Picture_14"/>
                          <pic:cNvPicPr/>
                        </pic:nvPicPr>
                        <pic:blipFill>
                          <a:blip r:embed="rId8"/>
                          <a:stretch>
                            <a:fillRect/>
                          </a:stretch>
                        </pic:blipFill>
                        <pic:spPr>
                          <a:xfrm>
                            <a:off x="0" y="0"/>
                            <a:ext cx="66675" cy="1714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18415"/>
                  <wp:effectExtent l="0" t="0" r="0" b="0"/>
                  <wp:wrapNone/>
                  <wp:docPr id="1" name="Picture_14_SpCnt_1"/>
                  <wp:cNvGraphicFramePr/>
                  <a:graphic xmlns:a="http://schemas.openxmlformats.org/drawingml/2006/main">
                    <a:graphicData uri="http://schemas.openxmlformats.org/drawingml/2006/picture">
                      <pic:pic xmlns:pic="http://schemas.openxmlformats.org/drawingml/2006/picture">
                        <pic:nvPicPr>
                          <pic:cNvPr id="1" name="Picture_14_SpCnt_1"/>
                          <pic:cNvPicPr/>
                        </pic:nvPicPr>
                        <pic:blipFill>
                          <a:blip r:embed="rId8"/>
                          <a:stretch>
                            <a:fillRect/>
                          </a:stretch>
                        </pic:blipFill>
                        <pic:spPr>
                          <a:xfrm>
                            <a:off x="0" y="0"/>
                            <a:ext cx="66675" cy="1841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注：</w:t>
            </w:r>
            <w:r>
              <w:rPr>
                <w:rFonts w:hint="eastAsia" w:ascii="宋体" w:hAnsi="宋体" w:cs="宋体"/>
                <w:i w:val="0"/>
                <w:iCs w:val="0"/>
                <w:color w:val="auto"/>
                <w:kern w:val="0"/>
                <w:sz w:val="24"/>
                <w:szCs w:val="24"/>
                <w:u w:val="none"/>
                <w:lang w:val="en-US" w:eastAsia="zh-CN" w:bidi="ar"/>
              </w:rPr>
              <w:t>以上为含税价格。</w:t>
            </w:r>
          </w:p>
        </w:tc>
        <w:tc>
          <w:tcPr>
            <w:tcW w:w="785" w:type="pct"/>
            <w:tcBorders>
              <w:top w:val="nil"/>
              <w:left w:val="nil"/>
              <w:bottom w:val="nil"/>
              <w:right w:val="nil"/>
            </w:tcBorders>
            <w:shd w:val="clear" w:color="auto" w:fill="auto"/>
            <w:noWrap/>
            <w:vAlign w:val="center"/>
          </w:tcPr>
          <w:p w14:paraId="7452F9C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r>
    </w:tbl>
    <w:p w14:paraId="4952BF34">
      <w:pPr>
        <w:ind w:firstLine="420" w:firstLineChars="200"/>
        <w:rPr>
          <w:rFonts w:hint="eastAsia" w:ascii="宋体" w:hAnsi="宋体"/>
          <w:color w:val="auto"/>
          <w:lang w:eastAsia="zh-CN"/>
        </w:rPr>
      </w:pPr>
    </w:p>
    <w:p w14:paraId="04505A6C">
      <w:pPr>
        <w:ind w:firstLine="420" w:firstLineChars="200"/>
        <w:rPr>
          <w:rFonts w:hint="eastAsia" w:ascii="宋体" w:hAnsi="宋体"/>
          <w:color w:val="auto"/>
          <w:lang w:val="en-US" w:eastAsia="zh-CN"/>
        </w:rPr>
      </w:pPr>
      <w:r>
        <w:rPr>
          <w:rFonts w:hint="eastAsia" w:ascii="宋体" w:hAnsi="宋体"/>
          <w:color w:val="auto"/>
          <w:lang w:eastAsia="zh-CN"/>
        </w:rPr>
        <w:t>1</w:t>
      </w:r>
      <w:r>
        <w:rPr>
          <w:rFonts w:hint="eastAsia" w:ascii="宋体" w:hAnsi="宋体"/>
          <w:color w:val="auto"/>
          <w:lang w:val="en-US" w:eastAsia="zh-CN"/>
        </w:rPr>
        <w:t>.3桌椅维修信息图示</w:t>
      </w:r>
    </w:p>
    <w:p w14:paraId="0DED7493">
      <w:pPr>
        <w:ind w:firstLine="420" w:firstLineChars="200"/>
        <w:rPr>
          <w:rFonts w:hint="eastAsia" w:ascii="宋体" w:hAnsi="宋体"/>
          <w:color w:val="auto"/>
          <w:lang w:val="en-US" w:eastAsia="zh-CN"/>
        </w:rPr>
      </w:pPr>
      <w:r>
        <w:rPr>
          <w:rFonts w:hint="eastAsia" w:ascii="宋体" w:hAnsi="宋体"/>
          <w:color w:val="auto"/>
          <w:lang w:val="en-US" w:eastAsia="zh-CN"/>
        </w:rPr>
        <w:t>条桌前挡板延长</w:t>
      </w:r>
    </w:p>
    <w:p w14:paraId="2BC894EB">
      <w:pPr>
        <w:ind w:firstLine="420" w:firstLineChars="200"/>
        <w:rPr>
          <w:rFonts w:hint="eastAsia" w:ascii="宋体" w:hAnsi="宋体"/>
          <w:color w:val="auto"/>
          <w:lang w:val="en-US" w:eastAsia="zh-CN"/>
        </w:rPr>
      </w:pPr>
      <w:r>
        <w:rPr>
          <w:rFonts w:hint="eastAsia" w:ascii="宋体" w:hAnsi="宋体"/>
          <w:color w:val="auto"/>
          <w:lang w:val="en-US" w:eastAsia="zh-CN"/>
        </w:rPr>
        <w:drawing>
          <wp:inline distT="0" distB="0" distL="114300" distR="114300">
            <wp:extent cx="4591050" cy="3442970"/>
            <wp:effectExtent l="0" t="0" r="0" b="5080"/>
            <wp:docPr id="22" name="图片 22" descr="IMG_20250709_12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709_123120"/>
                    <pic:cNvPicPr>
                      <a:picLocks noChangeAspect="1"/>
                    </pic:cNvPicPr>
                  </pic:nvPicPr>
                  <pic:blipFill>
                    <a:blip r:embed="rId9"/>
                    <a:stretch>
                      <a:fillRect/>
                    </a:stretch>
                  </pic:blipFill>
                  <pic:spPr>
                    <a:xfrm>
                      <a:off x="0" y="0"/>
                      <a:ext cx="4591050" cy="3442970"/>
                    </a:xfrm>
                    <a:prstGeom prst="rect">
                      <a:avLst/>
                    </a:prstGeom>
                  </pic:spPr>
                </pic:pic>
              </a:graphicData>
            </a:graphic>
          </wp:inline>
        </w:drawing>
      </w:r>
    </w:p>
    <w:p w14:paraId="52F4482D">
      <w:pPr>
        <w:keepNext w:val="0"/>
        <w:keepLines w:val="0"/>
        <w:pageBreakBefore w:val="0"/>
        <w:widowControl w:val="0"/>
        <w:kinsoku/>
        <w:wordWrap/>
        <w:overflowPunct/>
        <w:topLinePunct w:val="0"/>
        <w:autoSpaceDE/>
        <w:autoSpaceDN/>
        <w:bidi w:val="0"/>
        <w:adjustRightInd/>
        <w:snapToGrid/>
        <w:spacing w:before="100" w:beforeAutospacing="1"/>
        <w:textAlignment w:val="auto"/>
        <w:rPr>
          <w:rFonts w:hint="eastAsia" w:ascii="宋体" w:hAnsi="宋体"/>
          <w:color w:val="auto"/>
          <w:lang w:val="en-US" w:eastAsia="zh-CN"/>
        </w:rPr>
      </w:pPr>
    </w:p>
    <w:p w14:paraId="51BAFEB8">
      <w:pPr>
        <w:keepNext w:val="0"/>
        <w:keepLines w:val="0"/>
        <w:pageBreakBefore w:val="0"/>
        <w:widowControl w:val="0"/>
        <w:kinsoku/>
        <w:wordWrap/>
        <w:overflowPunct/>
        <w:topLinePunct w:val="0"/>
        <w:autoSpaceDE/>
        <w:autoSpaceDN/>
        <w:bidi w:val="0"/>
        <w:adjustRightInd/>
        <w:snapToGrid/>
        <w:spacing w:before="100" w:beforeAutospacing="1"/>
        <w:ind w:firstLine="420" w:firstLineChars="200"/>
        <w:textAlignment w:val="auto"/>
        <w:rPr>
          <w:rFonts w:hint="eastAsia" w:ascii="宋体" w:hAnsi="宋体"/>
          <w:color w:val="auto"/>
          <w:lang w:val="en-US" w:eastAsia="zh-CN"/>
        </w:rPr>
      </w:pPr>
      <w:r>
        <w:rPr>
          <w:rFonts w:hint="eastAsia" w:ascii="宋体" w:hAnsi="宋体"/>
          <w:color w:val="auto"/>
          <w:lang w:val="en-US" w:eastAsia="zh-CN"/>
        </w:rPr>
        <w:t>条桌桌面维修</w:t>
      </w:r>
    </w:p>
    <w:p w14:paraId="3F74E1CE">
      <w:pPr>
        <w:keepNext w:val="0"/>
        <w:keepLines w:val="0"/>
        <w:pageBreakBefore w:val="0"/>
        <w:widowControl w:val="0"/>
        <w:kinsoku/>
        <w:wordWrap/>
        <w:overflowPunct/>
        <w:topLinePunct w:val="0"/>
        <w:autoSpaceDE/>
        <w:autoSpaceDN/>
        <w:bidi w:val="0"/>
        <w:adjustRightInd/>
        <w:snapToGrid/>
        <w:spacing w:before="100" w:beforeAutospacing="1"/>
        <w:ind w:firstLine="420" w:firstLineChars="200"/>
        <w:textAlignment w:val="auto"/>
        <w:rPr>
          <w:rFonts w:hint="eastAsia" w:ascii="宋体" w:hAnsi="宋体"/>
          <w:color w:val="auto"/>
          <w:lang w:val="en-US" w:eastAsia="zh-CN"/>
        </w:rPr>
      </w:pPr>
      <w:r>
        <w:rPr>
          <w:rFonts w:hint="eastAsia" w:ascii="宋体" w:hAnsi="宋体"/>
          <w:color w:val="auto"/>
          <w:lang w:val="en-US" w:eastAsia="zh-CN"/>
        </w:rPr>
        <w:drawing>
          <wp:inline distT="0" distB="0" distL="114300" distR="114300">
            <wp:extent cx="4737735" cy="3421380"/>
            <wp:effectExtent l="0" t="0" r="5715" b="7620"/>
            <wp:docPr id="18" name="图片 18" descr="IMG_20250709_12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709_123344"/>
                    <pic:cNvPicPr>
                      <a:picLocks noChangeAspect="1"/>
                    </pic:cNvPicPr>
                  </pic:nvPicPr>
                  <pic:blipFill>
                    <a:blip r:embed="rId10"/>
                    <a:stretch>
                      <a:fillRect/>
                    </a:stretch>
                  </pic:blipFill>
                  <pic:spPr>
                    <a:xfrm>
                      <a:off x="0" y="0"/>
                      <a:ext cx="4737735" cy="3421380"/>
                    </a:xfrm>
                    <a:prstGeom prst="rect">
                      <a:avLst/>
                    </a:prstGeom>
                  </pic:spPr>
                </pic:pic>
              </a:graphicData>
            </a:graphic>
          </wp:inline>
        </w:drawing>
      </w:r>
    </w:p>
    <w:p w14:paraId="47130F56">
      <w:pPr>
        <w:keepNext w:val="0"/>
        <w:keepLines w:val="0"/>
        <w:pageBreakBefore w:val="0"/>
        <w:widowControl w:val="0"/>
        <w:kinsoku/>
        <w:wordWrap/>
        <w:overflowPunct/>
        <w:topLinePunct w:val="0"/>
        <w:autoSpaceDE/>
        <w:autoSpaceDN/>
        <w:bidi w:val="0"/>
        <w:adjustRightInd/>
        <w:snapToGrid/>
        <w:spacing w:before="100" w:beforeAutospacing="1"/>
        <w:ind w:firstLine="420" w:firstLineChars="200"/>
        <w:textAlignment w:val="auto"/>
        <w:rPr>
          <w:rFonts w:hint="eastAsia" w:ascii="宋体" w:hAnsi="宋体"/>
          <w:color w:val="auto"/>
          <w:lang w:val="en-US" w:eastAsia="zh-CN"/>
        </w:rPr>
      </w:pPr>
      <w:r>
        <w:rPr>
          <w:rFonts w:hint="eastAsia" w:ascii="宋体" w:hAnsi="宋体"/>
          <w:color w:val="auto"/>
          <w:lang w:val="en-US" w:eastAsia="zh-CN"/>
        </w:rPr>
        <w:t>背胎个别松动（适当调整）</w:t>
      </w:r>
    </w:p>
    <w:p w14:paraId="75D36EDE">
      <w:pPr>
        <w:keepNext w:val="0"/>
        <w:keepLines w:val="0"/>
        <w:pageBreakBefore w:val="0"/>
        <w:widowControl w:val="0"/>
        <w:kinsoku/>
        <w:wordWrap/>
        <w:overflowPunct/>
        <w:topLinePunct w:val="0"/>
        <w:autoSpaceDE/>
        <w:autoSpaceDN/>
        <w:bidi w:val="0"/>
        <w:adjustRightInd/>
        <w:snapToGrid/>
        <w:spacing w:before="100" w:beforeAutospacing="1"/>
        <w:ind w:firstLine="420" w:firstLineChars="200"/>
        <w:jc w:val="center"/>
        <w:textAlignment w:val="auto"/>
        <w:rPr>
          <w:rFonts w:hint="eastAsia" w:ascii="宋体" w:hAnsi="宋体"/>
          <w:color w:val="auto"/>
          <w:lang w:val="en-US" w:eastAsia="zh-CN"/>
        </w:rPr>
      </w:pPr>
      <w:r>
        <w:rPr>
          <w:rFonts w:hint="eastAsia" w:ascii="宋体" w:hAnsi="宋体"/>
          <w:color w:val="auto"/>
          <w:lang w:val="en-US" w:eastAsia="zh-CN"/>
        </w:rPr>
        <w:drawing>
          <wp:inline distT="0" distB="0" distL="114300" distR="114300">
            <wp:extent cx="3787775" cy="2840990"/>
            <wp:effectExtent l="0" t="0" r="3175" b="16510"/>
            <wp:docPr id="16" name="图片 16" descr="IMG_20250709_12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709_123553"/>
                    <pic:cNvPicPr>
                      <a:picLocks noChangeAspect="1"/>
                    </pic:cNvPicPr>
                  </pic:nvPicPr>
                  <pic:blipFill>
                    <a:blip r:embed="rId11"/>
                    <a:stretch>
                      <a:fillRect/>
                    </a:stretch>
                  </pic:blipFill>
                  <pic:spPr>
                    <a:xfrm>
                      <a:off x="0" y="0"/>
                      <a:ext cx="3787775" cy="2840990"/>
                    </a:xfrm>
                    <a:prstGeom prst="rect">
                      <a:avLst/>
                    </a:prstGeom>
                  </pic:spPr>
                </pic:pic>
              </a:graphicData>
            </a:graphic>
          </wp:inline>
        </w:drawing>
      </w:r>
    </w:p>
    <w:p w14:paraId="4E8DC13B">
      <w:pPr>
        <w:keepNext w:val="0"/>
        <w:keepLines w:val="0"/>
        <w:pageBreakBefore w:val="0"/>
        <w:widowControl w:val="0"/>
        <w:kinsoku/>
        <w:wordWrap/>
        <w:overflowPunct/>
        <w:topLinePunct w:val="0"/>
        <w:autoSpaceDE/>
        <w:autoSpaceDN/>
        <w:bidi w:val="0"/>
        <w:adjustRightInd/>
        <w:snapToGrid/>
        <w:spacing w:before="100" w:beforeAutospacing="1"/>
        <w:ind w:firstLine="420" w:firstLineChars="200"/>
        <w:textAlignment w:val="auto"/>
        <w:rPr>
          <w:rFonts w:hint="eastAsia" w:ascii="宋体" w:hAnsi="宋体"/>
          <w:color w:val="auto"/>
          <w:lang w:val="en-US" w:eastAsia="zh-CN"/>
        </w:rPr>
      </w:pPr>
      <w:r>
        <w:rPr>
          <w:rFonts w:hint="eastAsia" w:ascii="宋体" w:hAnsi="宋体"/>
          <w:color w:val="auto"/>
          <w:lang w:val="en-US" w:eastAsia="zh-CN"/>
        </w:rPr>
        <w:t>座椅塌陷</w:t>
      </w:r>
    </w:p>
    <w:p w14:paraId="34F8B16D">
      <w:pPr>
        <w:keepNext w:val="0"/>
        <w:keepLines w:val="0"/>
        <w:pageBreakBefore w:val="0"/>
        <w:widowControl w:val="0"/>
        <w:kinsoku/>
        <w:wordWrap/>
        <w:overflowPunct/>
        <w:topLinePunct w:val="0"/>
        <w:autoSpaceDE/>
        <w:autoSpaceDN/>
        <w:bidi w:val="0"/>
        <w:adjustRightInd/>
        <w:snapToGrid/>
        <w:spacing w:before="100" w:beforeAutospacing="1"/>
        <w:jc w:val="center"/>
        <w:textAlignment w:val="auto"/>
        <w:rPr>
          <w:rFonts w:hint="eastAsia" w:ascii="宋体" w:hAnsi="宋体"/>
          <w:color w:val="auto"/>
          <w:lang w:val="en-US" w:eastAsia="zh-CN"/>
        </w:rPr>
      </w:pPr>
      <w:r>
        <w:rPr>
          <w:rFonts w:hint="eastAsia" w:ascii="宋体" w:hAnsi="宋体"/>
          <w:color w:val="auto"/>
          <w:lang w:val="en-US" w:eastAsia="zh-CN"/>
        </w:rPr>
        <w:drawing>
          <wp:inline distT="0" distB="0" distL="114300" distR="114300">
            <wp:extent cx="4436110" cy="3326765"/>
            <wp:effectExtent l="0" t="0" r="2540" b="6985"/>
            <wp:docPr id="14" name="图片 14" descr="IMG_20250709_12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709_123722"/>
                    <pic:cNvPicPr>
                      <a:picLocks noChangeAspect="1"/>
                    </pic:cNvPicPr>
                  </pic:nvPicPr>
                  <pic:blipFill>
                    <a:blip r:embed="rId12"/>
                    <a:stretch>
                      <a:fillRect/>
                    </a:stretch>
                  </pic:blipFill>
                  <pic:spPr>
                    <a:xfrm>
                      <a:off x="0" y="0"/>
                      <a:ext cx="4436110" cy="3326765"/>
                    </a:xfrm>
                    <a:prstGeom prst="rect">
                      <a:avLst/>
                    </a:prstGeom>
                  </pic:spPr>
                </pic:pic>
              </a:graphicData>
            </a:graphic>
          </wp:inline>
        </w:drawing>
      </w:r>
    </w:p>
    <w:p w14:paraId="14A68C7E">
      <w:pPr>
        <w:keepNext w:val="0"/>
        <w:keepLines w:val="0"/>
        <w:pageBreakBefore w:val="0"/>
        <w:widowControl w:val="0"/>
        <w:kinsoku/>
        <w:wordWrap/>
        <w:overflowPunct/>
        <w:topLinePunct w:val="0"/>
        <w:autoSpaceDE/>
        <w:autoSpaceDN/>
        <w:bidi w:val="0"/>
        <w:adjustRightInd/>
        <w:snapToGrid/>
        <w:spacing w:before="100" w:beforeAutospacing="1"/>
        <w:textAlignment w:val="auto"/>
        <w:rPr>
          <w:rFonts w:hint="eastAsia" w:ascii="宋体" w:hAnsi="宋体"/>
          <w:color w:val="auto"/>
          <w:lang w:val="en-US" w:eastAsia="zh-CN"/>
        </w:rPr>
      </w:pPr>
    </w:p>
    <w:p w14:paraId="1E8DA1A1">
      <w:pPr>
        <w:keepNext w:val="0"/>
        <w:keepLines w:val="0"/>
        <w:pageBreakBefore w:val="0"/>
        <w:widowControl w:val="0"/>
        <w:kinsoku/>
        <w:wordWrap/>
        <w:overflowPunct/>
        <w:topLinePunct w:val="0"/>
        <w:autoSpaceDE/>
        <w:autoSpaceDN/>
        <w:bidi w:val="0"/>
        <w:adjustRightInd/>
        <w:snapToGrid/>
        <w:spacing w:before="100" w:beforeAutospacing="1"/>
        <w:textAlignment w:val="auto"/>
        <w:rPr>
          <w:rFonts w:hint="eastAsia" w:ascii="宋体" w:hAnsi="宋体"/>
          <w:color w:val="auto"/>
          <w:lang w:val="en-US" w:eastAsia="zh-CN"/>
        </w:rPr>
      </w:pPr>
    </w:p>
    <w:p w14:paraId="17B17ECE">
      <w:pPr>
        <w:keepNext w:val="0"/>
        <w:keepLines w:val="0"/>
        <w:pageBreakBefore w:val="0"/>
        <w:widowControl w:val="0"/>
        <w:kinsoku/>
        <w:wordWrap/>
        <w:overflowPunct/>
        <w:topLinePunct w:val="0"/>
        <w:autoSpaceDE/>
        <w:autoSpaceDN/>
        <w:bidi w:val="0"/>
        <w:adjustRightInd/>
        <w:snapToGrid/>
        <w:spacing w:before="100" w:beforeAutospacing="1"/>
        <w:textAlignment w:val="auto"/>
        <w:rPr>
          <w:rFonts w:hint="eastAsia" w:ascii="宋体" w:hAnsi="宋体"/>
          <w:color w:val="auto"/>
          <w:lang w:val="en-US" w:eastAsia="zh-CN"/>
        </w:rPr>
      </w:pPr>
    </w:p>
    <w:p w14:paraId="3CA9B76C">
      <w:pPr>
        <w:keepNext w:val="0"/>
        <w:keepLines w:val="0"/>
        <w:pageBreakBefore w:val="0"/>
        <w:widowControl w:val="0"/>
        <w:kinsoku/>
        <w:wordWrap/>
        <w:overflowPunct/>
        <w:topLinePunct w:val="0"/>
        <w:autoSpaceDE/>
        <w:autoSpaceDN/>
        <w:bidi w:val="0"/>
        <w:adjustRightInd/>
        <w:snapToGrid/>
        <w:spacing w:before="100" w:beforeAutospacing="1"/>
        <w:textAlignment w:val="auto"/>
        <w:rPr>
          <w:rFonts w:hint="eastAsia" w:ascii="宋体" w:hAnsi="宋体"/>
          <w:color w:val="auto"/>
          <w:lang w:val="en-US" w:eastAsia="zh-CN"/>
        </w:rPr>
      </w:pPr>
    </w:p>
    <w:p w14:paraId="6FC3D231">
      <w:pPr>
        <w:keepNext w:val="0"/>
        <w:keepLines w:val="0"/>
        <w:pageBreakBefore w:val="0"/>
        <w:widowControl w:val="0"/>
        <w:kinsoku/>
        <w:wordWrap/>
        <w:overflowPunct/>
        <w:topLinePunct w:val="0"/>
        <w:autoSpaceDE/>
        <w:autoSpaceDN/>
        <w:bidi w:val="0"/>
        <w:adjustRightInd/>
        <w:snapToGrid/>
        <w:spacing w:before="100" w:beforeAutospacing="1"/>
        <w:textAlignment w:val="auto"/>
        <w:rPr>
          <w:rFonts w:hint="eastAsia" w:ascii="宋体" w:hAnsi="宋体"/>
          <w:color w:val="auto"/>
          <w:lang w:val="en-US" w:eastAsia="zh-CN"/>
        </w:rPr>
      </w:pPr>
      <w:r>
        <w:rPr>
          <w:rFonts w:hint="eastAsia" w:ascii="宋体" w:hAnsi="宋体"/>
          <w:color w:val="auto"/>
          <w:lang w:val="en-US" w:eastAsia="zh-CN"/>
        </w:rPr>
        <w:t>桌椅底脚松动维修</w:t>
      </w:r>
    </w:p>
    <w:p w14:paraId="2888B261">
      <w:pPr>
        <w:keepNext w:val="0"/>
        <w:keepLines w:val="0"/>
        <w:pageBreakBefore w:val="0"/>
        <w:widowControl w:val="0"/>
        <w:kinsoku/>
        <w:wordWrap/>
        <w:overflowPunct/>
        <w:topLinePunct w:val="0"/>
        <w:autoSpaceDE/>
        <w:autoSpaceDN/>
        <w:bidi w:val="0"/>
        <w:adjustRightInd/>
        <w:snapToGrid/>
        <w:spacing w:before="100" w:beforeAutospacing="1"/>
        <w:jc w:val="center"/>
        <w:textAlignment w:val="auto"/>
        <w:rPr>
          <w:rFonts w:hint="eastAsia" w:ascii="宋体" w:hAnsi="宋体"/>
          <w:color w:val="auto"/>
          <w:lang w:val="en-US" w:eastAsia="zh-CN"/>
        </w:rPr>
      </w:pPr>
      <w:r>
        <w:rPr>
          <w:rFonts w:hint="eastAsia" w:ascii="宋体" w:hAnsi="宋体"/>
          <w:color w:val="auto"/>
          <w:lang w:val="en-US" w:eastAsia="zh-CN"/>
        </w:rPr>
        <w:drawing>
          <wp:inline distT="0" distB="0" distL="114300" distR="114300">
            <wp:extent cx="4377055" cy="3282315"/>
            <wp:effectExtent l="0" t="0" r="4445" b="13335"/>
            <wp:docPr id="11" name="图片 11" descr="IMG_20250709_12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709_123811"/>
                    <pic:cNvPicPr>
                      <a:picLocks noChangeAspect="1"/>
                    </pic:cNvPicPr>
                  </pic:nvPicPr>
                  <pic:blipFill>
                    <a:blip r:embed="rId13"/>
                    <a:stretch>
                      <a:fillRect/>
                    </a:stretch>
                  </pic:blipFill>
                  <pic:spPr>
                    <a:xfrm>
                      <a:off x="0" y="0"/>
                      <a:ext cx="4377055" cy="3282315"/>
                    </a:xfrm>
                    <a:prstGeom prst="rect">
                      <a:avLst/>
                    </a:prstGeom>
                  </pic:spPr>
                </pic:pic>
              </a:graphicData>
            </a:graphic>
          </wp:inline>
        </w:drawing>
      </w:r>
    </w:p>
    <w:p w14:paraId="0D7E3425">
      <w:pPr>
        <w:keepNext w:val="0"/>
        <w:keepLines w:val="0"/>
        <w:pageBreakBefore w:val="0"/>
        <w:widowControl w:val="0"/>
        <w:kinsoku/>
        <w:wordWrap/>
        <w:overflowPunct/>
        <w:topLinePunct w:val="0"/>
        <w:autoSpaceDE/>
        <w:autoSpaceDN/>
        <w:bidi w:val="0"/>
        <w:adjustRightInd/>
        <w:snapToGrid/>
        <w:spacing w:before="100" w:beforeAutospacing="1"/>
        <w:ind w:firstLine="340" w:firstLineChars="200"/>
        <w:textAlignment w:val="auto"/>
        <w:rPr>
          <w:rFonts w:hint="eastAsia" w:ascii="宋体" w:hAnsi="宋体"/>
          <w:color w:val="auto"/>
          <w:spacing w:val="-20"/>
          <w:sz w:val="21"/>
          <w:lang w:val="en-US" w:eastAsia="zh-CN"/>
        </w:rPr>
      </w:pPr>
      <w:r>
        <w:rPr>
          <w:rFonts w:hint="eastAsia" w:ascii="宋体" w:hAnsi="宋体"/>
          <w:color w:val="auto"/>
          <w:spacing w:val="-20"/>
          <w:sz w:val="21"/>
          <w:lang w:val="en-US" w:eastAsia="zh-CN"/>
        </w:rPr>
        <w:t>桌面油漆维修</w:t>
      </w:r>
    </w:p>
    <w:p w14:paraId="27340CB3">
      <w:pPr>
        <w:keepNext w:val="0"/>
        <w:keepLines w:val="0"/>
        <w:pageBreakBefore w:val="0"/>
        <w:widowControl w:val="0"/>
        <w:kinsoku/>
        <w:wordWrap/>
        <w:overflowPunct/>
        <w:topLinePunct w:val="0"/>
        <w:autoSpaceDE/>
        <w:autoSpaceDN/>
        <w:bidi w:val="0"/>
        <w:adjustRightInd/>
        <w:snapToGrid/>
        <w:spacing w:before="100" w:beforeAutospacing="1"/>
        <w:ind w:firstLine="420" w:firstLineChars="200"/>
        <w:textAlignment w:val="auto"/>
        <w:rPr>
          <w:rFonts w:hint="eastAsia" w:ascii="宋体" w:hAnsi="宋体"/>
          <w:color w:val="auto"/>
          <w:lang w:val="en-US" w:eastAsia="zh-CN"/>
        </w:rPr>
      </w:pPr>
      <w:r>
        <w:rPr>
          <w:rFonts w:hint="eastAsia" w:ascii="宋体" w:hAnsi="宋体"/>
          <w:color w:val="auto"/>
          <w:lang w:val="en-US" w:eastAsia="zh-CN"/>
        </w:rPr>
        <w:drawing>
          <wp:inline distT="0" distB="0" distL="114300" distR="114300">
            <wp:extent cx="4555490" cy="3309620"/>
            <wp:effectExtent l="0" t="0" r="16510" b="5080"/>
            <wp:docPr id="7" name="图片 7" descr="IMG_20250709_12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709_124044"/>
                    <pic:cNvPicPr>
                      <a:picLocks noChangeAspect="1"/>
                    </pic:cNvPicPr>
                  </pic:nvPicPr>
                  <pic:blipFill>
                    <a:blip r:embed="rId14"/>
                    <a:stretch>
                      <a:fillRect/>
                    </a:stretch>
                  </pic:blipFill>
                  <pic:spPr>
                    <a:xfrm>
                      <a:off x="0" y="0"/>
                      <a:ext cx="4555490" cy="3309620"/>
                    </a:xfrm>
                    <a:prstGeom prst="rect">
                      <a:avLst/>
                    </a:prstGeom>
                  </pic:spPr>
                </pic:pic>
              </a:graphicData>
            </a:graphic>
          </wp:inline>
        </w:drawing>
      </w:r>
    </w:p>
    <w:p w14:paraId="3C368A9F">
      <w:pPr>
        <w:ind w:firstLine="420" w:firstLineChars="200"/>
        <w:rPr>
          <w:rFonts w:hint="eastAsia" w:ascii="宋体" w:hAnsi="宋体"/>
          <w:color w:val="auto"/>
          <w:lang w:val="en-US" w:eastAsia="zh-CN"/>
        </w:rPr>
      </w:pPr>
    </w:p>
    <w:p w14:paraId="1874382B">
      <w:pPr>
        <w:ind w:firstLine="420" w:firstLineChars="200"/>
        <w:jc w:val="center"/>
        <w:rPr>
          <w:rFonts w:ascii="宋体" w:hAnsi="宋体"/>
          <w:color w:val="auto"/>
        </w:rPr>
      </w:pPr>
    </w:p>
    <w:p w14:paraId="563B8158">
      <w:pPr>
        <w:ind w:firstLine="440" w:firstLineChars="200"/>
        <w:jc w:val="center"/>
        <w:rPr>
          <w:rFonts w:ascii="宋体" w:hAnsi="宋体"/>
          <w:color w:val="auto"/>
          <w:sz w:val="22"/>
        </w:rPr>
        <w:sectPr>
          <w:headerReference r:id="rId4" w:type="first"/>
          <w:headerReference r:id="rId3" w:type="default"/>
          <w:footerReference r:id="rId5" w:type="default"/>
          <w:footerReference r:id="rId6" w:type="even"/>
          <w:pgSz w:w="11906" w:h="16838"/>
          <w:pgMar w:top="1440" w:right="1797" w:bottom="1440" w:left="1797" w:header="851" w:footer="992" w:gutter="0"/>
          <w:pgNumType w:start="0"/>
          <w:cols w:space="720" w:num="1"/>
          <w:titlePg/>
          <w:docGrid w:type="lines" w:linePitch="312" w:charSpace="0"/>
        </w:sectPr>
      </w:pPr>
    </w:p>
    <w:p w14:paraId="0D94843D">
      <w:pPr>
        <w:ind w:firstLine="422" w:firstLineChars="200"/>
        <w:rPr>
          <w:rFonts w:ascii="宋体" w:hAnsi="宋体"/>
          <w:b/>
          <w:color w:val="auto"/>
        </w:rPr>
      </w:pPr>
      <w:r>
        <w:rPr>
          <w:rFonts w:hint="eastAsia" w:ascii="宋体" w:hAnsi="宋体"/>
          <w:b/>
          <w:color w:val="auto"/>
        </w:rPr>
        <w:t>2．报价人应具备的条件及要求</w:t>
      </w:r>
    </w:p>
    <w:p w14:paraId="6236C5DE">
      <w:pPr>
        <w:ind w:firstLine="420" w:firstLineChars="200"/>
        <w:rPr>
          <w:rFonts w:ascii="宋体" w:hAnsi="宋体"/>
          <w:color w:val="auto"/>
        </w:rPr>
      </w:pPr>
      <w:r>
        <w:rPr>
          <w:rFonts w:hint="eastAsia" w:ascii="宋体" w:hAnsi="宋体"/>
          <w:color w:val="auto"/>
        </w:rPr>
        <w:t>2.1 在中华人民共和国境内具有法人资格。</w:t>
      </w:r>
    </w:p>
    <w:p w14:paraId="6FB8DE75">
      <w:pPr>
        <w:tabs>
          <w:tab w:val="left" w:pos="540"/>
        </w:tabs>
        <w:ind w:firstLine="420" w:firstLineChars="200"/>
        <w:rPr>
          <w:rFonts w:ascii="宋体" w:hAnsi="宋体"/>
          <w:color w:val="auto"/>
        </w:rPr>
      </w:pPr>
      <w:r>
        <w:rPr>
          <w:rFonts w:hint="eastAsia" w:ascii="宋体" w:hAnsi="宋体"/>
          <w:color w:val="auto"/>
        </w:rPr>
        <w:t>2.2只有在法律和财务上独立、合法运作并独立于询价单位的报价人才能参加报价。</w:t>
      </w:r>
    </w:p>
    <w:p w14:paraId="64F532F5">
      <w:pPr>
        <w:tabs>
          <w:tab w:val="left" w:pos="652"/>
          <w:tab w:val="left" w:pos="682"/>
        </w:tabs>
        <w:ind w:firstLine="420" w:firstLineChars="200"/>
        <w:rPr>
          <w:rFonts w:ascii="宋体" w:hAnsi="宋体"/>
          <w:color w:val="auto"/>
        </w:rPr>
      </w:pPr>
      <w:r>
        <w:rPr>
          <w:rFonts w:hint="eastAsia" w:ascii="宋体" w:hAnsi="宋体"/>
          <w:color w:val="auto"/>
        </w:rPr>
        <w:t>2.3被邀请人应仔细阅读询价通知书的所有内容，按询价通知书的要求提交报价文件，并保证所提供的全部资料的真实性，使其对询价通知书做出实质性响应，否则，将被拒绝。学院保留进一步要求被邀请人补充提供有关材料的权利，拒绝补充材料或提供材料不真实，将被视为自动放弃比选资格。</w:t>
      </w:r>
    </w:p>
    <w:p w14:paraId="7A6D1CD8">
      <w:pPr>
        <w:tabs>
          <w:tab w:val="left" w:pos="652"/>
          <w:tab w:val="left" w:pos="682"/>
        </w:tabs>
        <w:ind w:firstLine="420" w:firstLineChars="200"/>
        <w:rPr>
          <w:rFonts w:ascii="宋体" w:hAnsi="宋体"/>
          <w:color w:val="auto"/>
        </w:rPr>
      </w:pPr>
      <w:r>
        <w:rPr>
          <w:rFonts w:hint="eastAsia" w:ascii="宋体" w:hAnsi="宋体"/>
          <w:color w:val="auto"/>
        </w:rPr>
        <w:t>2.4被邀请人一旦中选，签订合同后，不得私自转包，否则将视为违约并自动终止合同。</w:t>
      </w:r>
    </w:p>
    <w:p w14:paraId="468940F6">
      <w:pPr>
        <w:ind w:left="210" w:leftChars="100" w:firstLine="214" w:firstLineChars="102"/>
        <w:rPr>
          <w:rFonts w:ascii="宋体" w:hAnsi="宋体"/>
          <w:color w:val="auto"/>
        </w:rPr>
      </w:pPr>
      <w:r>
        <w:rPr>
          <w:rFonts w:ascii="宋体" w:hAnsi="宋体"/>
          <w:color w:val="auto"/>
        </w:rPr>
        <w:t xml:space="preserve"> </w:t>
      </w:r>
    </w:p>
    <w:p w14:paraId="71734DF6">
      <w:pPr>
        <w:ind w:firstLine="643" w:firstLineChars="200"/>
        <w:jc w:val="center"/>
        <w:rPr>
          <w:rFonts w:ascii="宋体" w:hAnsi="宋体"/>
          <w:b/>
          <w:color w:val="auto"/>
          <w:sz w:val="32"/>
          <w:szCs w:val="32"/>
        </w:rPr>
      </w:pPr>
      <w:r>
        <w:rPr>
          <w:rFonts w:hint="eastAsia" w:ascii="宋体" w:hAnsi="宋体"/>
          <w:b/>
          <w:color w:val="auto"/>
          <w:sz w:val="32"/>
          <w:szCs w:val="32"/>
        </w:rPr>
        <w:t>二、报价文件的编制</w:t>
      </w:r>
    </w:p>
    <w:p w14:paraId="768EB2D0">
      <w:pPr>
        <w:ind w:firstLine="422" w:firstLineChars="200"/>
        <w:rPr>
          <w:rFonts w:ascii="宋体" w:hAnsi="宋体"/>
          <w:b/>
          <w:color w:val="auto"/>
        </w:rPr>
      </w:pPr>
      <w:r>
        <w:rPr>
          <w:rFonts w:hint="eastAsia" w:ascii="宋体" w:hAnsi="宋体"/>
          <w:b/>
          <w:color w:val="auto"/>
        </w:rPr>
        <w:t>3. 报价的语言和计量单位</w:t>
      </w:r>
    </w:p>
    <w:p w14:paraId="7689021A">
      <w:pPr>
        <w:ind w:firstLine="420" w:firstLineChars="200"/>
        <w:rPr>
          <w:rFonts w:ascii="宋体" w:hAnsi="宋体"/>
          <w:color w:val="auto"/>
        </w:rPr>
      </w:pPr>
      <w:r>
        <w:rPr>
          <w:rFonts w:hint="eastAsia" w:ascii="宋体" w:hAnsi="宋体"/>
          <w:color w:val="auto"/>
        </w:rPr>
        <w:t>报价人提交的报价文件以及就有关报价的所有往来函电均应使用简体中文。计量单位为中华人民共和国法定计量单位。</w:t>
      </w:r>
    </w:p>
    <w:p w14:paraId="504FBA0C">
      <w:pPr>
        <w:ind w:firstLine="422" w:firstLineChars="200"/>
        <w:rPr>
          <w:rFonts w:ascii="宋体" w:hAnsi="宋体"/>
          <w:b/>
          <w:color w:val="auto"/>
        </w:rPr>
      </w:pPr>
      <w:r>
        <w:rPr>
          <w:rFonts w:hint="eastAsia" w:ascii="宋体" w:hAnsi="宋体"/>
          <w:b/>
          <w:color w:val="auto"/>
        </w:rPr>
        <w:t xml:space="preserve"> 4. 报价文件构成：</w:t>
      </w:r>
    </w:p>
    <w:p w14:paraId="1295935D">
      <w:pPr>
        <w:ind w:firstLine="420" w:firstLineChars="200"/>
        <w:rPr>
          <w:rFonts w:ascii="宋体" w:hAnsi="宋体"/>
          <w:color w:val="auto"/>
        </w:rPr>
      </w:pPr>
      <w:r>
        <w:rPr>
          <w:rFonts w:hint="eastAsia" w:ascii="宋体" w:hAnsi="宋体"/>
          <w:color w:val="auto"/>
        </w:rPr>
        <w:t xml:space="preserve"> 报价文件包括以下内容：</w:t>
      </w:r>
    </w:p>
    <w:p w14:paraId="597D83B9">
      <w:pPr>
        <w:numPr>
          <w:ilvl w:val="0"/>
          <w:numId w:val="4"/>
        </w:numPr>
        <w:adjustRightInd w:val="0"/>
        <w:ind w:left="0" w:firstLine="420" w:firstLineChars="200"/>
        <w:jc w:val="left"/>
        <w:textAlignment w:val="baseline"/>
        <w:rPr>
          <w:rFonts w:ascii="宋体" w:hAnsi="宋体"/>
          <w:color w:val="auto"/>
        </w:rPr>
      </w:pPr>
      <w:r>
        <w:rPr>
          <w:rFonts w:hint="eastAsia" w:ascii="宋体" w:hAnsi="宋体"/>
          <w:color w:val="auto"/>
        </w:rPr>
        <w:t>询价通知书中给出的附表；</w:t>
      </w:r>
      <w:r>
        <w:rPr>
          <w:rFonts w:hint="eastAsia" w:ascii="宋体" w:hAnsi="宋体"/>
          <w:color w:val="auto"/>
          <w:lang w:eastAsia="zh-CN"/>
        </w:rPr>
        <w:t>（项目工作内容统计及报价明细、附件一、附件二）</w:t>
      </w:r>
    </w:p>
    <w:p w14:paraId="18AA556B">
      <w:pPr>
        <w:numPr>
          <w:ilvl w:val="0"/>
          <w:numId w:val="4"/>
        </w:numPr>
        <w:adjustRightInd w:val="0"/>
        <w:ind w:left="0" w:firstLine="420" w:firstLineChars="200"/>
        <w:jc w:val="left"/>
        <w:textAlignment w:val="baseline"/>
        <w:rPr>
          <w:rFonts w:ascii="宋体" w:hAnsi="宋体"/>
          <w:color w:val="auto"/>
        </w:rPr>
      </w:pPr>
      <w:r>
        <w:rPr>
          <w:rFonts w:hint="eastAsia" w:ascii="宋体" w:hAnsi="宋体"/>
          <w:color w:val="auto"/>
        </w:rPr>
        <w:t>按照第7条要求出具的资格证明文件；</w:t>
      </w:r>
    </w:p>
    <w:p w14:paraId="5FB4D41D">
      <w:pPr>
        <w:numPr>
          <w:ilvl w:val="0"/>
          <w:numId w:val="4"/>
        </w:numPr>
        <w:adjustRightInd w:val="0"/>
        <w:ind w:left="0" w:firstLine="420" w:firstLineChars="200"/>
        <w:jc w:val="left"/>
        <w:textAlignment w:val="baseline"/>
        <w:rPr>
          <w:rFonts w:ascii="宋体" w:hAnsi="宋体"/>
          <w:color w:val="auto"/>
        </w:rPr>
      </w:pPr>
      <w:r>
        <w:rPr>
          <w:rFonts w:hint="eastAsia" w:ascii="宋体" w:hAnsi="宋体"/>
          <w:color w:val="auto"/>
          <w:lang w:eastAsia="zh-CN"/>
        </w:rPr>
        <w:t>本项目实施方案；</w:t>
      </w:r>
    </w:p>
    <w:p w14:paraId="3A5F3384">
      <w:pPr>
        <w:numPr>
          <w:ilvl w:val="0"/>
          <w:numId w:val="4"/>
        </w:numPr>
        <w:adjustRightInd w:val="0"/>
        <w:ind w:left="0" w:firstLine="420" w:firstLineChars="200"/>
        <w:jc w:val="left"/>
        <w:textAlignment w:val="baseline"/>
        <w:rPr>
          <w:rFonts w:ascii="宋体" w:hAnsi="宋体"/>
          <w:bCs/>
          <w:color w:val="auto"/>
        </w:rPr>
      </w:pPr>
      <w:r>
        <w:rPr>
          <w:rFonts w:hint="eastAsia" w:ascii="宋体" w:hAnsi="宋体"/>
          <w:bCs/>
          <w:color w:val="auto"/>
        </w:rPr>
        <w:t>其他内容。</w:t>
      </w:r>
    </w:p>
    <w:p w14:paraId="78248671">
      <w:pPr>
        <w:ind w:firstLine="422" w:firstLineChars="200"/>
        <w:rPr>
          <w:rFonts w:ascii="宋体" w:hAnsi="宋体"/>
          <w:b/>
          <w:color w:val="auto"/>
        </w:rPr>
      </w:pPr>
      <w:r>
        <w:rPr>
          <w:rFonts w:hint="eastAsia" w:ascii="宋体" w:hAnsi="宋体"/>
          <w:b/>
          <w:color w:val="auto"/>
        </w:rPr>
        <w:t xml:space="preserve"> 5. 报价</w:t>
      </w:r>
    </w:p>
    <w:p w14:paraId="0A0F237E">
      <w:pPr>
        <w:ind w:firstLine="420" w:firstLineChars="200"/>
        <w:rPr>
          <w:rFonts w:ascii="宋体" w:hAnsi="宋体"/>
          <w:color w:val="auto"/>
        </w:rPr>
      </w:pPr>
      <w:r>
        <w:rPr>
          <w:rFonts w:hint="eastAsia" w:ascii="宋体" w:hAnsi="宋体"/>
          <w:color w:val="auto"/>
        </w:rPr>
        <w:t xml:space="preserve"> 5.1 报价人应完整地填写报价表。</w:t>
      </w:r>
    </w:p>
    <w:p w14:paraId="3A28640F">
      <w:pPr>
        <w:spacing w:line="400" w:lineRule="exact"/>
        <w:ind w:firstLine="420" w:firstLineChars="200"/>
        <w:rPr>
          <w:rFonts w:ascii="宋体" w:hAnsi="宋体"/>
          <w:color w:val="auto"/>
        </w:rPr>
      </w:pPr>
      <w:r>
        <w:rPr>
          <w:rFonts w:hint="eastAsia" w:ascii="宋体" w:hAnsi="宋体"/>
          <w:color w:val="auto"/>
        </w:rPr>
        <w:t xml:space="preserve"> 5.2本承包合同属于总价包干合同，即完成合同内容的所有费用，诸如</w:t>
      </w:r>
      <w:r>
        <w:rPr>
          <w:rFonts w:hint="eastAsia" w:ascii="宋体" w:hAnsi="宋体"/>
          <w:color w:val="auto"/>
          <w:lang w:eastAsia="zh-CN"/>
        </w:rPr>
        <w:t>拆装</w:t>
      </w:r>
      <w:r>
        <w:rPr>
          <w:rFonts w:hint="eastAsia" w:ascii="宋体" w:hAnsi="宋体"/>
          <w:color w:val="auto"/>
        </w:rPr>
        <w:t>施工费、</w:t>
      </w:r>
      <w:r>
        <w:rPr>
          <w:rFonts w:hint="eastAsia" w:ascii="宋体" w:hAnsi="宋体"/>
          <w:color w:val="auto"/>
          <w:lang w:eastAsia="zh-CN"/>
        </w:rPr>
        <w:t>运输存储费、维修费、清洗费、</w:t>
      </w:r>
      <w:r>
        <w:rPr>
          <w:rFonts w:hint="eastAsia" w:ascii="宋体" w:hAnsi="宋体"/>
          <w:color w:val="auto"/>
        </w:rPr>
        <w:t>原材料费、辅料费用、管理费、垃圾清运、间接费、利润、税费、规费、质保费等全部费用，均已包括在项目总价内。</w:t>
      </w:r>
    </w:p>
    <w:p w14:paraId="111C4291">
      <w:pPr>
        <w:widowControl/>
        <w:ind w:firstLine="420" w:firstLineChars="200"/>
        <w:jc w:val="left"/>
        <w:rPr>
          <w:rFonts w:ascii="宋体" w:hAnsi="宋体"/>
          <w:color w:val="auto"/>
        </w:rPr>
      </w:pPr>
      <w:r>
        <w:rPr>
          <w:rFonts w:hint="eastAsia" w:ascii="宋体" w:hAnsi="宋体"/>
          <w:color w:val="auto"/>
        </w:rPr>
        <w:t>若本项目执行中发生了按每一独立事件(包括单份发包方指示、单份图纸转送单、单份项目洽商)而定义的变量，其决算办法为甲乙双方办理洽商，在经得甲方同意后方可对变量进行施工。报价表中选明的单价在合同执行过程中固定不变，报价人不得以任何理由予以变更。</w:t>
      </w:r>
    </w:p>
    <w:p w14:paraId="36CAA7C5">
      <w:pPr>
        <w:ind w:firstLine="420" w:firstLineChars="200"/>
        <w:rPr>
          <w:rFonts w:ascii="宋体" w:hAnsi="宋体"/>
          <w:bCs/>
          <w:color w:val="auto"/>
        </w:rPr>
      </w:pPr>
      <w:r>
        <w:rPr>
          <w:rFonts w:hint="eastAsia" w:ascii="宋体" w:hAnsi="宋体"/>
          <w:color w:val="auto"/>
        </w:rPr>
        <w:t>5.3  报价包含</w:t>
      </w:r>
      <w:r>
        <w:rPr>
          <w:rFonts w:hint="eastAsia" w:ascii="宋体" w:hAnsi="宋体"/>
          <w:bCs/>
          <w:color w:val="auto"/>
        </w:rPr>
        <w:t>如下内容：</w:t>
      </w:r>
    </w:p>
    <w:p w14:paraId="618E04C5">
      <w:pPr>
        <w:ind w:firstLine="420" w:firstLineChars="200"/>
        <w:rPr>
          <w:rFonts w:ascii="宋体" w:hAnsi="宋体"/>
          <w:bCs/>
          <w:color w:val="auto"/>
        </w:rPr>
      </w:pPr>
      <w:r>
        <w:rPr>
          <w:rFonts w:hint="eastAsia" w:ascii="宋体" w:hAnsi="宋体"/>
          <w:bCs/>
          <w:color w:val="auto"/>
        </w:rPr>
        <w:t>（1）</w:t>
      </w:r>
      <w:r>
        <w:rPr>
          <w:rFonts w:hint="eastAsia" w:ascii="宋体" w:hAnsi="宋体"/>
          <w:bCs/>
          <w:color w:val="auto"/>
          <w:lang w:eastAsia="zh-CN"/>
        </w:rPr>
        <w:t>所有桌椅的拆卸、安装、储存</w:t>
      </w:r>
      <w:r>
        <w:rPr>
          <w:rFonts w:ascii="宋体" w:hAnsi="宋体"/>
          <w:bCs/>
          <w:color w:val="auto"/>
        </w:rPr>
        <w:t>；</w:t>
      </w:r>
    </w:p>
    <w:p w14:paraId="27699FBA">
      <w:pPr>
        <w:ind w:firstLine="420" w:firstLineChars="200"/>
        <w:rPr>
          <w:rFonts w:ascii="宋体" w:hAnsi="宋体"/>
          <w:bCs/>
          <w:color w:val="auto"/>
        </w:rPr>
      </w:pPr>
      <w:r>
        <w:rPr>
          <w:rFonts w:hint="eastAsia" w:ascii="宋体" w:hAnsi="宋体"/>
          <w:bCs/>
          <w:color w:val="auto"/>
        </w:rPr>
        <w:t>（2）</w:t>
      </w:r>
      <w:r>
        <w:rPr>
          <w:rFonts w:hint="eastAsia" w:ascii="宋体" w:hAnsi="宋体"/>
          <w:bCs/>
          <w:color w:val="auto"/>
          <w:lang w:eastAsia="zh-CN"/>
        </w:rPr>
        <w:t>所有桌椅</w:t>
      </w:r>
      <w:r>
        <w:rPr>
          <w:rFonts w:hint="eastAsia" w:ascii="宋体" w:hAnsi="宋体"/>
          <w:bCs/>
          <w:color w:val="auto"/>
        </w:rPr>
        <w:t>的</w:t>
      </w:r>
      <w:r>
        <w:rPr>
          <w:rFonts w:hint="eastAsia" w:ascii="宋体" w:hAnsi="宋体"/>
          <w:bCs/>
          <w:color w:val="auto"/>
          <w:lang w:eastAsia="zh-CN"/>
        </w:rPr>
        <w:t>来回运输</w:t>
      </w:r>
      <w:r>
        <w:rPr>
          <w:rFonts w:ascii="宋体" w:hAnsi="宋体"/>
          <w:bCs/>
          <w:color w:val="auto"/>
        </w:rPr>
        <w:t>；</w:t>
      </w:r>
    </w:p>
    <w:p w14:paraId="6A9E8BA3">
      <w:pPr>
        <w:ind w:firstLine="420" w:firstLineChars="200"/>
        <w:rPr>
          <w:rFonts w:hint="eastAsia" w:ascii="宋体" w:hAnsi="宋体"/>
          <w:bCs/>
          <w:color w:val="auto"/>
          <w:lang w:eastAsia="zh-CN"/>
        </w:rPr>
      </w:pPr>
      <w:r>
        <w:rPr>
          <w:rFonts w:hint="eastAsia" w:ascii="宋体" w:hAnsi="宋体"/>
          <w:bCs/>
          <w:color w:val="auto"/>
        </w:rPr>
        <w:t>（</w:t>
      </w:r>
      <w:r>
        <w:rPr>
          <w:rFonts w:ascii="宋体" w:hAnsi="宋体"/>
          <w:bCs/>
          <w:color w:val="auto"/>
        </w:rPr>
        <w:t>3</w:t>
      </w:r>
      <w:r>
        <w:rPr>
          <w:rFonts w:hint="eastAsia" w:ascii="宋体" w:hAnsi="宋体"/>
          <w:bCs/>
          <w:color w:val="auto"/>
        </w:rPr>
        <w:t>）</w:t>
      </w:r>
      <w:r>
        <w:rPr>
          <w:rFonts w:hint="eastAsia" w:ascii="宋体" w:hAnsi="宋体"/>
          <w:bCs/>
          <w:color w:val="auto"/>
          <w:lang w:eastAsia="zh-CN"/>
        </w:rPr>
        <w:t>破损桌椅的维修，包括油漆维修、座椅海绵维修及桌椅本体加固；</w:t>
      </w:r>
    </w:p>
    <w:p w14:paraId="7386F1C0">
      <w:pPr>
        <w:ind w:firstLine="420" w:firstLineChars="200"/>
        <w:rPr>
          <w:rFonts w:ascii="宋体" w:hAnsi="宋体"/>
          <w:bCs/>
          <w:color w:val="auto"/>
        </w:rPr>
      </w:pPr>
      <w:r>
        <w:rPr>
          <w:rFonts w:hint="eastAsia" w:ascii="宋体" w:hAnsi="宋体"/>
          <w:bCs/>
          <w:color w:val="auto"/>
          <w:lang w:eastAsia="zh-CN"/>
        </w:rPr>
        <w:t>（</w:t>
      </w:r>
      <w:r>
        <w:rPr>
          <w:rFonts w:hint="eastAsia" w:ascii="宋体" w:hAnsi="宋体"/>
          <w:bCs/>
          <w:color w:val="auto"/>
          <w:lang w:val="en-US" w:eastAsia="zh-CN"/>
        </w:rPr>
        <w:t>4</w:t>
      </w:r>
      <w:r>
        <w:rPr>
          <w:rFonts w:hint="eastAsia" w:ascii="宋体" w:hAnsi="宋体"/>
          <w:bCs/>
          <w:color w:val="auto"/>
          <w:lang w:eastAsia="zh-CN"/>
        </w:rPr>
        <w:t>）项目实施过程中人工、保险</w:t>
      </w:r>
      <w:r>
        <w:rPr>
          <w:rFonts w:ascii="宋体" w:hAnsi="宋体"/>
          <w:bCs/>
          <w:color w:val="auto"/>
        </w:rPr>
        <w:t>及其他相关</w:t>
      </w:r>
      <w:r>
        <w:rPr>
          <w:rFonts w:hint="eastAsia" w:ascii="宋体" w:hAnsi="宋体"/>
          <w:bCs/>
          <w:color w:val="auto"/>
        </w:rPr>
        <w:t>费用。</w:t>
      </w:r>
    </w:p>
    <w:p w14:paraId="5FEE10D5">
      <w:pPr>
        <w:ind w:firstLine="420" w:firstLineChars="200"/>
        <w:rPr>
          <w:rFonts w:ascii="宋体" w:hAnsi="宋体"/>
          <w:bCs/>
          <w:color w:val="auto"/>
        </w:rPr>
      </w:pPr>
      <w:r>
        <w:rPr>
          <w:rFonts w:hint="eastAsia" w:ascii="宋体" w:hAnsi="宋体"/>
          <w:bCs/>
          <w:color w:val="auto"/>
        </w:rPr>
        <w:t>（</w:t>
      </w:r>
      <w:r>
        <w:rPr>
          <w:rFonts w:hint="eastAsia" w:ascii="宋体" w:hAnsi="宋体"/>
          <w:bCs/>
          <w:color w:val="auto"/>
          <w:lang w:val="en-US" w:eastAsia="zh-CN"/>
        </w:rPr>
        <w:t>5</w:t>
      </w:r>
      <w:r>
        <w:rPr>
          <w:rFonts w:hint="eastAsia" w:ascii="宋体" w:hAnsi="宋体"/>
          <w:bCs/>
          <w:color w:val="auto"/>
        </w:rPr>
        <w:t>）</w:t>
      </w:r>
      <w:r>
        <w:rPr>
          <w:rFonts w:ascii="宋体" w:hAnsi="宋体"/>
          <w:bCs/>
          <w:color w:val="auto"/>
        </w:rPr>
        <w:t>报价应包</w:t>
      </w:r>
      <w:r>
        <w:rPr>
          <w:rFonts w:hint="eastAsia" w:ascii="宋体" w:hAnsi="宋体"/>
          <w:bCs/>
          <w:color w:val="auto"/>
        </w:rPr>
        <w:t>括施工管理、机械设备、辅材、运输、质保等其它各项</w:t>
      </w:r>
      <w:r>
        <w:rPr>
          <w:rFonts w:ascii="宋体" w:hAnsi="宋体"/>
          <w:bCs/>
          <w:color w:val="auto"/>
        </w:rPr>
        <w:t>费用</w:t>
      </w:r>
      <w:r>
        <w:rPr>
          <w:rFonts w:hint="eastAsia" w:ascii="宋体" w:hAnsi="宋体"/>
          <w:bCs/>
          <w:color w:val="auto"/>
        </w:rPr>
        <w:t>；</w:t>
      </w:r>
    </w:p>
    <w:p w14:paraId="015E6B82">
      <w:pPr>
        <w:ind w:firstLine="420" w:firstLineChars="200"/>
        <w:rPr>
          <w:rFonts w:ascii="宋体" w:hAnsi="宋体"/>
          <w:bCs/>
          <w:color w:val="auto"/>
        </w:rPr>
      </w:pPr>
      <w:r>
        <w:rPr>
          <w:rFonts w:hint="eastAsia" w:ascii="宋体" w:hAnsi="宋体"/>
          <w:bCs/>
          <w:color w:val="auto"/>
        </w:rPr>
        <w:t>（</w:t>
      </w:r>
      <w:r>
        <w:rPr>
          <w:rFonts w:hint="eastAsia" w:ascii="宋体" w:hAnsi="宋体"/>
          <w:bCs/>
          <w:color w:val="auto"/>
          <w:lang w:val="en-US" w:eastAsia="zh-CN"/>
        </w:rPr>
        <w:t>6</w:t>
      </w:r>
      <w:r>
        <w:rPr>
          <w:rFonts w:hint="eastAsia" w:ascii="宋体" w:hAnsi="宋体"/>
          <w:bCs/>
          <w:color w:val="auto"/>
        </w:rPr>
        <w:t>）报价应包含国家、地方规定的所有税费；</w:t>
      </w:r>
    </w:p>
    <w:p w14:paraId="5435B424">
      <w:pPr>
        <w:ind w:firstLine="420" w:firstLineChars="200"/>
        <w:rPr>
          <w:rFonts w:ascii="宋体" w:hAnsi="宋体"/>
          <w:bCs/>
          <w:color w:val="auto"/>
        </w:rPr>
      </w:pPr>
      <w:r>
        <w:rPr>
          <w:rFonts w:hint="eastAsia" w:ascii="宋体" w:hAnsi="宋体"/>
          <w:bCs/>
          <w:color w:val="auto"/>
        </w:rPr>
        <w:t>（</w:t>
      </w:r>
      <w:r>
        <w:rPr>
          <w:rFonts w:hint="eastAsia" w:ascii="宋体" w:hAnsi="宋体"/>
          <w:bCs/>
          <w:color w:val="auto"/>
          <w:lang w:val="en-US" w:eastAsia="zh-CN"/>
        </w:rPr>
        <w:t>7</w:t>
      </w:r>
      <w:r>
        <w:rPr>
          <w:rFonts w:hint="eastAsia" w:ascii="宋体" w:hAnsi="宋体"/>
          <w:bCs/>
          <w:color w:val="auto"/>
        </w:rPr>
        <w:t xml:space="preserve">）报价应包括过程及其他防护相关费用； </w:t>
      </w:r>
    </w:p>
    <w:p w14:paraId="19F82AFB">
      <w:pPr>
        <w:ind w:firstLine="420" w:firstLineChars="200"/>
        <w:rPr>
          <w:rFonts w:ascii="宋体" w:hAnsi="宋体"/>
          <w:bCs/>
          <w:color w:val="auto"/>
        </w:rPr>
      </w:pPr>
      <w:r>
        <w:rPr>
          <w:rFonts w:hint="eastAsia" w:ascii="宋体" w:hAnsi="宋体"/>
          <w:bCs/>
          <w:color w:val="auto"/>
        </w:rPr>
        <w:t>（</w:t>
      </w:r>
      <w:r>
        <w:rPr>
          <w:rFonts w:hint="eastAsia" w:ascii="宋体" w:hAnsi="宋体"/>
          <w:bCs/>
          <w:color w:val="auto"/>
          <w:lang w:val="en-US" w:eastAsia="zh-CN"/>
        </w:rPr>
        <w:t>8</w:t>
      </w:r>
      <w:r>
        <w:rPr>
          <w:rFonts w:hint="eastAsia" w:ascii="宋体" w:hAnsi="宋体"/>
          <w:bCs/>
          <w:color w:val="auto"/>
        </w:rPr>
        <w:t>）报价人应按询价人安排的时间到施工现场踏勘，以充分了解甲方需求情况，确保报价能够达到</w:t>
      </w:r>
      <w:r>
        <w:rPr>
          <w:rFonts w:hint="eastAsia" w:ascii="宋体" w:hAnsi="宋体"/>
          <w:bCs/>
          <w:color w:val="auto"/>
          <w:lang w:eastAsia="zh-CN"/>
        </w:rPr>
        <w:t>本项目</w:t>
      </w:r>
      <w:r>
        <w:rPr>
          <w:rFonts w:hint="eastAsia" w:ascii="宋体" w:hAnsi="宋体"/>
          <w:bCs/>
          <w:color w:val="auto"/>
        </w:rPr>
        <w:t>的</w:t>
      </w:r>
      <w:r>
        <w:rPr>
          <w:rFonts w:ascii="宋体" w:hAnsi="宋体"/>
          <w:bCs/>
          <w:color w:val="auto"/>
        </w:rPr>
        <w:t>相关</w:t>
      </w:r>
      <w:r>
        <w:rPr>
          <w:rFonts w:hint="eastAsia" w:ascii="宋体" w:hAnsi="宋体"/>
          <w:bCs/>
          <w:color w:val="auto"/>
        </w:rPr>
        <w:t>要求，任何因忽视、误解或未对施工现场情况进行考察而导致的索赔或工期延长申请将不获批准；</w:t>
      </w:r>
    </w:p>
    <w:p w14:paraId="1DDF3238">
      <w:pPr>
        <w:ind w:firstLine="420" w:firstLineChars="200"/>
        <w:rPr>
          <w:rFonts w:ascii="宋体" w:hAnsi="宋体"/>
          <w:bCs/>
          <w:color w:val="auto"/>
        </w:rPr>
      </w:pPr>
      <w:r>
        <w:rPr>
          <w:rFonts w:hint="eastAsia" w:ascii="宋体" w:hAnsi="宋体"/>
          <w:bCs/>
          <w:color w:val="auto"/>
        </w:rPr>
        <w:t>（</w:t>
      </w:r>
      <w:r>
        <w:rPr>
          <w:rFonts w:hint="eastAsia" w:ascii="宋体" w:hAnsi="宋体"/>
          <w:bCs/>
          <w:color w:val="auto"/>
          <w:lang w:val="en-US" w:eastAsia="zh-CN"/>
        </w:rPr>
        <w:t>9</w:t>
      </w:r>
      <w:r>
        <w:rPr>
          <w:rFonts w:hint="eastAsia" w:ascii="宋体" w:hAnsi="宋体"/>
          <w:bCs/>
          <w:color w:val="auto"/>
        </w:rPr>
        <w:t>）总报价若有让利，要在相应的报价表中加以说明。</w:t>
      </w:r>
    </w:p>
    <w:p w14:paraId="0AC2F86A">
      <w:pPr>
        <w:ind w:firstLine="422" w:firstLineChars="200"/>
        <w:rPr>
          <w:rFonts w:ascii="宋体" w:hAnsi="宋体"/>
          <w:bCs/>
          <w:color w:val="auto"/>
        </w:rPr>
      </w:pPr>
      <w:r>
        <w:rPr>
          <w:rFonts w:hint="eastAsia" w:ascii="宋体" w:hAnsi="宋体"/>
          <w:b/>
          <w:color w:val="auto"/>
        </w:rPr>
        <w:t xml:space="preserve">6. 报价货币 </w:t>
      </w:r>
      <w:r>
        <w:rPr>
          <w:rFonts w:hint="eastAsia" w:ascii="宋体" w:hAnsi="宋体"/>
          <w:bCs/>
          <w:color w:val="auto"/>
        </w:rPr>
        <w:t xml:space="preserve">   </w:t>
      </w:r>
    </w:p>
    <w:p w14:paraId="3CA53299">
      <w:pPr>
        <w:ind w:firstLine="420" w:firstLineChars="200"/>
        <w:rPr>
          <w:rFonts w:ascii="宋体" w:hAnsi="宋体"/>
          <w:bCs/>
          <w:color w:val="auto"/>
        </w:rPr>
      </w:pPr>
      <w:r>
        <w:rPr>
          <w:rFonts w:hint="eastAsia" w:ascii="宋体" w:hAnsi="宋体"/>
          <w:bCs/>
          <w:color w:val="auto"/>
        </w:rPr>
        <w:t xml:space="preserve">6.1报价货币采用人民币。单位：元。 </w:t>
      </w:r>
    </w:p>
    <w:p w14:paraId="65339536">
      <w:pPr>
        <w:ind w:firstLine="420" w:firstLineChars="200"/>
        <w:rPr>
          <w:rFonts w:ascii="宋体" w:hAnsi="宋体"/>
          <w:bCs/>
          <w:color w:val="auto"/>
        </w:rPr>
      </w:pPr>
      <w:r>
        <w:rPr>
          <w:rFonts w:hint="eastAsia" w:ascii="宋体" w:hAnsi="宋体"/>
          <w:bCs/>
          <w:color w:val="auto"/>
        </w:rPr>
        <w:t>6.2须提供报价清单，报价清单需包含单项费用及总额。</w:t>
      </w:r>
    </w:p>
    <w:p w14:paraId="2A5521FD">
      <w:pPr>
        <w:ind w:firstLine="422" w:firstLineChars="200"/>
        <w:rPr>
          <w:rFonts w:ascii="宋体" w:hAnsi="宋体"/>
          <w:b/>
          <w:color w:val="auto"/>
        </w:rPr>
      </w:pPr>
      <w:r>
        <w:rPr>
          <w:rFonts w:hint="eastAsia" w:ascii="宋体" w:hAnsi="宋体"/>
          <w:b/>
          <w:color w:val="auto"/>
        </w:rPr>
        <w:t>7. 证明报价人合格和资格的文件</w:t>
      </w:r>
    </w:p>
    <w:p w14:paraId="6AB1280B">
      <w:pPr>
        <w:ind w:firstLine="420" w:firstLineChars="200"/>
        <w:rPr>
          <w:rFonts w:ascii="宋体" w:hAnsi="宋体"/>
          <w:bCs/>
          <w:color w:val="auto"/>
        </w:rPr>
      </w:pPr>
      <w:r>
        <w:rPr>
          <w:rFonts w:hint="eastAsia" w:ascii="宋体" w:hAnsi="宋体"/>
          <w:bCs/>
          <w:color w:val="auto"/>
        </w:rPr>
        <w:t>报价人应提交证明其有资格参加报价和中选后有能力履行合同的文件，并作为其报价文件的一部分。</w:t>
      </w:r>
    </w:p>
    <w:p w14:paraId="17D551DE">
      <w:pPr>
        <w:ind w:firstLine="420" w:firstLineChars="200"/>
        <w:rPr>
          <w:rFonts w:ascii="宋体" w:hAnsi="宋体"/>
          <w:bCs/>
          <w:color w:val="auto"/>
        </w:rPr>
      </w:pPr>
      <w:r>
        <w:rPr>
          <w:rFonts w:hint="eastAsia" w:ascii="宋体" w:hAnsi="宋体"/>
          <w:bCs/>
          <w:color w:val="auto"/>
        </w:rPr>
        <w:t>7.1 报价单位的企业法人营业执照、税务登记证、银行开户等复印件（需加盖公章）；</w:t>
      </w:r>
    </w:p>
    <w:p w14:paraId="4541812A">
      <w:pPr>
        <w:ind w:firstLine="420" w:firstLineChars="200"/>
        <w:rPr>
          <w:rFonts w:ascii="宋体" w:hAnsi="宋体"/>
          <w:b/>
          <w:color w:val="auto"/>
        </w:rPr>
      </w:pPr>
      <w:r>
        <w:rPr>
          <w:rFonts w:hint="eastAsia" w:ascii="宋体" w:hAnsi="宋体"/>
          <w:bCs/>
          <w:color w:val="auto"/>
        </w:rPr>
        <w:t>7.2法定代表人授权书。</w:t>
      </w:r>
      <w:r>
        <w:rPr>
          <w:rFonts w:hint="eastAsia" w:ascii="宋体" w:hAnsi="宋体"/>
          <w:b/>
          <w:color w:val="auto"/>
        </w:rPr>
        <w:t xml:space="preserve">  </w:t>
      </w:r>
    </w:p>
    <w:p w14:paraId="6573AC13">
      <w:pPr>
        <w:ind w:firstLine="422" w:firstLineChars="200"/>
        <w:rPr>
          <w:rFonts w:ascii="宋体" w:hAnsi="宋体"/>
          <w:b/>
          <w:color w:val="auto"/>
        </w:rPr>
      </w:pPr>
      <w:r>
        <w:rPr>
          <w:rFonts w:hint="eastAsia" w:ascii="宋体" w:hAnsi="宋体"/>
          <w:b/>
          <w:color w:val="auto"/>
        </w:rPr>
        <w:t>8. 验收和承诺</w:t>
      </w:r>
    </w:p>
    <w:p w14:paraId="4661AB97">
      <w:pPr>
        <w:ind w:firstLine="420" w:firstLineChars="200"/>
        <w:rPr>
          <w:rFonts w:ascii="宋体" w:hAnsi="宋体"/>
          <w:b/>
          <w:color w:val="auto"/>
        </w:rPr>
      </w:pPr>
      <w:r>
        <w:rPr>
          <w:rFonts w:hint="eastAsia" w:ascii="宋体" w:hAnsi="宋体"/>
          <w:color w:val="auto"/>
        </w:rPr>
        <w:t>8.1 项目质量和验收</w:t>
      </w:r>
    </w:p>
    <w:p w14:paraId="348402BF">
      <w:pPr>
        <w:widowControl/>
        <w:ind w:firstLine="420" w:firstLineChars="200"/>
        <w:jc w:val="left"/>
        <w:rPr>
          <w:rFonts w:ascii="宋体" w:hAnsi="宋体"/>
          <w:color w:val="auto"/>
        </w:rPr>
      </w:pPr>
      <w:r>
        <w:rPr>
          <w:rFonts w:hint="eastAsia" w:ascii="宋体" w:hAnsi="宋体"/>
          <w:color w:val="auto"/>
        </w:rPr>
        <w:t>1</w:t>
      </w:r>
      <w:r>
        <w:rPr>
          <w:rFonts w:hint="eastAsia" w:ascii="宋体" w:hAnsi="宋体"/>
          <w:color w:val="auto"/>
          <w:lang w:eastAsia="zh-CN"/>
        </w:rPr>
        <w:t>.</w:t>
      </w:r>
      <w:r>
        <w:rPr>
          <w:rFonts w:hint="eastAsia" w:ascii="宋体" w:hAnsi="宋体"/>
          <w:color w:val="auto"/>
        </w:rPr>
        <w:t>本项目质量监督按国家和北京市现行相关条例和规定执行。</w:t>
      </w:r>
    </w:p>
    <w:p w14:paraId="57B3B2E5">
      <w:pPr>
        <w:ind w:firstLine="420" w:firstLineChars="200"/>
        <w:rPr>
          <w:rFonts w:hint="eastAsia" w:ascii="宋体" w:hAnsi="宋体"/>
          <w:color w:val="auto"/>
        </w:rPr>
      </w:pPr>
      <w:r>
        <w:rPr>
          <w:rFonts w:hint="eastAsia" w:ascii="宋体" w:hAnsi="宋体"/>
          <w:color w:val="auto"/>
          <w:lang w:val="en-US" w:eastAsia="zh-CN"/>
        </w:rPr>
        <w:t>2</w:t>
      </w:r>
      <w:r>
        <w:rPr>
          <w:rFonts w:hint="eastAsia" w:ascii="宋体" w:hAnsi="宋体"/>
          <w:color w:val="auto"/>
          <w:lang w:eastAsia="zh-CN"/>
        </w:rPr>
        <w:t>.</w:t>
      </w:r>
      <w:r>
        <w:rPr>
          <w:rFonts w:hint="eastAsia" w:ascii="宋体" w:hAnsi="宋体"/>
          <w:color w:val="auto"/>
        </w:rPr>
        <w:t>本项目的质量和功能须达到技术要求的水平，该水平要高于国家和北京市现行的关于项目质量的规定标准的合格等级。</w:t>
      </w:r>
    </w:p>
    <w:p w14:paraId="1DB1503A">
      <w:pPr>
        <w:ind w:firstLine="420" w:firstLineChars="200"/>
        <w:rPr>
          <w:rFonts w:hint="default" w:ascii="宋体" w:hAnsi="宋体" w:eastAsia="宋体"/>
          <w:color w:val="auto"/>
          <w:lang w:val="en-US" w:eastAsia="zh-CN"/>
        </w:rPr>
      </w:pPr>
      <w:r>
        <w:rPr>
          <w:rFonts w:hint="eastAsia" w:ascii="宋体" w:hAnsi="宋体"/>
          <w:color w:val="auto"/>
          <w:lang w:val="en-US" w:eastAsia="zh-CN"/>
        </w:rPr>
        <w:t>3.本项目的质量和要求需达到甲方提出的环保、安全等要求。</w:t>
      </w:r>
    </w:p>
    <w:p w14:paraId="4B9EBF49">
      <w:pPr>
        <w:widowControl/>
        <w:ind w:firstLine="420" w:firstLineChars="200"/>
        <w:jc w:val="left"/>
        <w:rPr>
          <w:rFonts w:ascii="宋体" w:hAnsi="宋体"/>
          <w:color w:val="auto"/>
        </w:rPr>
      </w:pPr>
      <w:r>
        <w:rPr>
          <w:rFonts w:hint="eastAsia" w:ascii="宋体" w:hAnsi="宋体"/>
          <w:color w:val="auto"/>
        </w:rPr>
        <w:t>8.2 售后服务承诺</w:t>
      </w:r>
    </w:p>
    <w:p w14:paraId="44EBF976">
      <w:pPr>
        <w:widowControl/>
        <w:ind w:firstLine="420" w:firstLineChars="200"/>
        <w:jc w:val="left"/>
        <w:rPr>
          <w:rFonts w:hint="eastAsia" w:ascii="宋体" w:hAnsi="宋体"/>
          <w:color w:val="FF0000"/>
        </w:rPr>
      </w:pPr>
      <w:r>
        <w:rPr>
          <w:rFonts w:hint="eastAsia" w:ascii="宋体" w:hAnsi="宋体"/>
          <w:color w:val="FF0000"/>
        </w:rPr>
        <w:t>1</w:t>
      </w:r>
      <w:r>
        <w:rPr>
          <w:rFonts w:hint="eastAsia" w:ascii="宋体" w:hAnsi="宋体"/>
          <w:color w:val="FF0000"/>
          <w:lang w:eastAsia="zh-CN"/>
        </w:rPr>
        <w:t>.</w:t>
      </w:r>
      <w:r>
        <w:rPr>
          <w:rFonts w:hint="eastAsia" w:ascii="宋体" w:hAnsi="宋体"/>
          <w:color w:val="FF0000"/>
        </w:rPr>
        <w:t>要求</w:t>
      </w:r>
      <w:r>
        <w:rPr>
          <w:rFonts w:hint="eastAsia" w:ascii="宋体" w:hAnsi="宋体"/>
          <w:color w:val="FF0000"/>
          <w:lang w:eastAsia="zh-CN"/>
        </w:rPr>
        <w:t>维修后桌椅</w:t>
      </w:r>
      <w:r>
        <w:rPr>
          <w:rFonts w:hint="eastAsia" w:ascii="宋体" w:hAnsi="宋体"/>
          <w:color w:val="FF0000"/>
        </w:rPr>
        <w:t>质保期不少于2年。</w:t>
      </w:r>
    </w:p>
    <w:p w14:paraId="5E0F131E">
      <w:pPr>
        <w:widowControl/>
        <w:ind w:firstLine="420" w:firstLineChars="200"/>
        <w:jc w:val="left"/>
        <w:rPr>
          <w:rFonts w:hint="default" w:ascii="宋体" w:hAnsi="宋体" w:eastAsia="宋体"/>
          <w:color w:val="auto"/>
          <w:lang w:val="en-US" w:eastAsia="zh-CN"/>
        </w:rPr>
      </w:pPr>
      <w:r>
        <w:rPr>
          <w:rFonts w:hint="eastAsia" w:ascii="宋体" w:hAnsi="宋体"/>
          <w:color w:val="auto"/>
          <w:lang w:val="en-US" w:eastAsia="zh-CN"/>
        </w:rPr>
        <w:t>2.要求所有安装桌椅稳固质保期不少于2年。</w:t>
      </w:r>
    </w:p>
    <w:p w14:paraId="404E8593">
      <w:pPr>
        <w:ind w:firstLine="422" w:firstLineChars="200"/>
        <w:rPr>
          <w:rFonts w:ascii="宋体" w:hAnsi="宋体"/>
          <w:b/>
          <w:color w:val="auto"/>
        </w:rPr>
      </w:pPr>
      <w:r>
        <w:rPr>
          <w:rFonts w:hint="eastAsia" w:ascii="宋体" w:hAnsi="宋体"/>
          <w:b/>
          <w:color w:val="auto"/>
        </w:rPr>
        <w:t>9. 报价有效期：</w:t>
      </w:r>
      <w:r>
        <w:rPr>
          <w:rFonts w:hint="eastAsia" w:ascii="宋体" w:hAnsi="宋体"/>
          <w:color w:val="auto"/>
        </w:rPr>
        <w:t xml:space="preserve">为30日历天，报价文件完成后须按规定的时间密封送达报价地点，超过规定时间送达的按弃权处理。   </w:t>
      </w:r>
      <w:r>
        <w:rPr>
          <w:rFonts w:hint="eastAsia" w:ascii="宋体" w:hAnsi="宋体"/>
          <w:b/>
          <w:color w:val="auto"/>
        </w:rPr>
        <w:t xml:space="preserve"> </w:t>
      </w:r>
    </w:p>
    <w:p w14:paraId="15D5F042">
      <w:pPr>
        <w:ind w:firstLine="422" w:firstLineChars="200"/>
        <w:rPr>
          <w:rFonts w:ascii="宋体" w:hAnsi="宋体"/>
          <w:b/>
          <w:color w:val="auto"/>
        </w:rPr>
      </w:pPr>
      <w:r>
        <w:rPr>
          <w:rFonts w:hint="eastAsia" w:ascii="宋体" w:hAnsi="宋体"/>
          <w:b/>
          <w:color w:val="auto"/>
        </w:rPr>
        <w:t>10. 报价文件的式样和签署</w:t>
      </w:r>
    </w:p>
    <w:p w14:paraId="00E8ED76">
      <w:pPr>
        <w:ind w:firstLine="420" w:firstLineChars="200"/>
        <w:rPr>
          <w:rFonts w:ascii="宋体" w:hAnsi="宋体"/>
          <w:color w:val="auto"/>
        </w:rPr>
      </w:pPr>
      <w:r>
        <w:rPr>
          <w:rFonts w:hint="eastAsia" w:ascii="宋体" w:hAnsi="宋体"/>
          <w:color w:val="auto"/>
        </w:rPr>
        <w:t>10.1 报价人递交报价文件</w:t>
      </w:r>
      <w:r>
        <w:rPr>
          <w:rFonts w:hint="eastAsia" w:ascii="宋体" w:hAnsi="宋体"/>
          <w:bCs/>
          <w:color w:val="auto"/>
        </w:rPr>
        <w:t>正本壹份、副本肆</w:t>
      </w:r>
      <w:r>
        <w:rPr>
          <w:rFonts w:hint="eastAsia" w:ascii="宋体" w:hAnsi="宋体"/>
          <w:color w:val="auto"/>
        </w:rPr>
        <w:t>份。每套报价文件须清楚的标明“正本”或“副本”字样，若正本与副本不一致时，以正本为准</w:t>
      </w:r>
    </w:p>
    <w:p w14:paraId="26C49C3C">
      <w:pPr>
        <w:ind w:firstLine="420" w:firstLineChars="200"/>
        <w:rPr>
          <w:rFonts w:ascii="宋体" w:hAnsi="宋体"/>
          <w:color w:val="auto"/>
        </w:rPr>
      </w:pPr>
      <w:r>
        <w:rPr>
          <w:rFonts w:hint="eastAsia" w:ascii="宋体" w:hAnsi="宋体"/>
          <w:color w:val="auto"/>
        </w:rPr>
        <w:t xml:space="preserve">10.2报价文件的正本和所有副本均须打印或用不褪色墨水书写并由报价人或经报价人正式授权的代表签字，并将“授权委托书”附在报价文件中。    </w:t>
      </w:r>
    </w:p>
    <w:p w14:paraId="28CBB6B2">
      <w:pPr>
        <w:ind w:firstLine="420" w:firstLineChars="200"/>
        <w:rPr>
          <w:rFonts w:ascii="宋体" w:hAnsi="宋体"/>
          <w:b/>
          <w:color w:val="auto"/>
          <w:sz w:val="44"/>
        </w:rPr>
      </w:pPr>
      <w:r>
        <w:rPr>
          <w:rFonts w:hint="eastAsia" w:ascii="宋体" w:hAnsi="宋体"/>
          <w:color w:val="auto"/>
        </w:rPr>
        <w:t>10.3报价文件不得在行间插字、涂改和增删，如有修改错漏处，必须由报价人或其授权代表签字和盖章。</w:t>
      </w:r>
    </w:p>
    <w:p w14:paraId="64E33111">
      <w:pPr>
        <w:ind w:firstLine="643" w:firstLineChars="200"/>
        <w:jc w:val="center"/>
        <w:rPr>
          <w:rFonts w:ascii="宋体" w:hAnsi="宋体"/>
          <w:b/>
          <w:color w:val="auto"/>
        </w:rPr>
      </w:pPr>
      <w:r>
        <w:rPr>
          <w:rFonts w:hint="eastAsia" w:ascii="宋体" w:hAnsi="宋体"/>
          <w:b/>
          <w:color w:val="auto"/>
          <w:sz w:val="32"/>
          <w:szCs w:val="32"/>
        </w:rPr>
        <w:t>三、报价文件的递交</w:t>
      </w:r>
      <w:r>
        <w:rPr>
          <w:rFonts w:hint="eastAsia" w:ascii="宋体" w:hAnsi="宋体"/>
          <w:b/>
          <w:color w:val="auto"/>
        </w:rPr>
        <w:t xml:space="preserve">    </w:t>
      </w:r>
    </w:p>
    <w:p w14:paraId="39272A01">
      <w:pPr>
        <w:ind w:firstLine="422" w:firstLineChars="200"/>
        <w:rPr>
          <w:rFonts w:ascii="宋体" w:hAnsi="宋体"/>
          <w:color w:val="auto"/>
        </w:rPr>
      </w:pPr>
      <w:r>
        <w:rPr>
          <w:rFonts w:hint="eastAsia" w:ascii="宋体" w:hAnsi="宋体"/>
          <w:b/>
          <w:color w:val="auto"/>
        </w:rPr>
        <w:t>11. 报价文件的密封和标记</w:t>
      </w:r>
      <w:r>
        <w:rPr>
          <w:rFonts w:hint="eastAsia" w:ascii="宋体" w:hAnsi="宋体"/>
          <w:color w:val="auto"/>
        </w:rPr>
        <w:t xml:space="preserve">    </w:t>
      </w:r>
    </w:p>
    <w:p w14:paraId="03C6D488">
      <w:pPr>
        <w:ind w:firstLine="420" w:firstLineChars="200"/>
        <w:rPr>
          <w:rFonts w:ascii="宋体" w:hAnsi="宋体"/>
          <w:bCs/>
          <w:color w:val="auto"/>
        </w:rPr>
      </w:pPr>
      <w:r>
        <w:rPr>
          <w:rFonts w:hint="eastAsia" w:ascii="宋体" w:hAnsi="宋体"/>
          <w:color w:val="auto"/>
        </w:rPr>
        <w:t>11</w:t>
      </w:r>
      <w:r>
        <w:rPr>
          <w:rFonts w:hint="eastAsia" w:ascii="宋体" w:hAnsi="宋体"/>
          <w:bCs/>
          <w:color w:val="auto"/>
        </w:rPr>
        <w:t>.1报价文件必须采用A4幅面文件袋密封，密封袋由报价人自行准备。</w:t>
      </w:r>
    </w:p>
    <w:p w14:paraId="34AB39A0">
      <w:pPr>
        <w:ind w:firstLine="420" w:firstLineChars="200"/>
        <w:rPr>
          <w:rFonts w:ascii="宋体" w:hAnsi="宋体"/>
          <w:bCs/>
          <w:color w:val="auto"/>
        </w:rPr>
      </w:pPr>
      <w:r>
        <w:rPr>
          <w:rFonts w:hint="eastAsia" w:ascii="宋体" w:hAnsi="宋体"/>
          <w:bCs/>
          <w:color w:val="auto"/>
        </w:rPr>
        <w:t>11.2报价文件密封必须用自备封条在报价文件密封袋背面上方开口处密封，并填写密封日期。封条上加盖报价单位公章和法定代表人印鉴各两枚。报价文件密封袋正面按照规定加盖报价单位公章和法人代表印鉴。</w:t>
      </w:r>
    </w:p>
    <w:p w14:paraId="183970D3">
      <w:pPr>
        <w:ind w:firstLine="643" w:firstLineChars="200"/>
        <w:jc w:val="center"/>
        <w:rPr>
          <w:rFonts w:ascii="宋体" w:hAnsi="宋体"/>
          <w:b/>
          <w:color w:val="auto"/>
        </w:rPr>
      </w:pPr>
      <w:r>
        <w:rPr>
          <w:rFonts w:hint="eastAsia" w:ascii="宋体" w:hAnsi="宋体"/>
          <w:b/>
          <w:color w:val="auto"/>
          <w:sz w:val="32"/>
          <w:szCs w:val="32"/>
        </w:rPr>
        <w:t>四、开封与评价</w:t>
      </w:r>
      <w:r>
        <w:rPr>
          <w:rFonts w:hint="eastAsia" w:ascii="宋体" w:hAnsi="宋体"/>
          <w:b/>
          <w:color w:val="auto"/>
        </w:rPr>
        <w:t xml:space="preserve">    </w:t>
      </w:r>
    </w:p>
    <w:p w14:paraId="3497CECD">
      <w:pPr>
        <w:ind w:firstLine="422" w:firstLineChars="200"/>
        <w:rPr>
          <w:rFonts w:ascii="宋体" w:hAnsi="宋体"/>
          <w:b/>
          <w:color w:val="auto"/>
        </w:rPr>
      </w:pPr>
      <w:r>
        <w:rPr>
          <w:rFonts w:hint="eastAsia" w:ascii="宋体" w:hAnsi="宋体"/>
          <w:b/>
          <w:color w:val="auto"/>
        </w:rPr>
        <w:t xml:space="preserve">12. 开封与评价：甲方成立询价委员会，由技术人员、财务、纪检人员参加，采取内部商议进行评价，根据综合询价情况确定中选单位。    </w:t>
      </w:r>
    </w:p>
    <w:p w14:paraId="36CE05FB">
      <w:pPr>
        <w:ind w:firstLine="422" w:firstLineChars="200"/>
        <w:rPr>
          <w:rFonts w:ascii="宋体" w:hAnsi="宋体"/>
          <w:b/>
          <w:color w:val="auto"/>
        </w:rPr>
      </w:pPr>
      <w:r>
        <w:rPr>
          <w:rFonts w:hint="eastAsia" w:ascii="宋体" w:hAnsi="宋体"/>
          <w:b/>
          <w:color w:val="auto"/>
        </w:rPr>
        <w:t>13. 存在以下任一行为，将被取消其中选资格，并视情节给予相应处罚：</w:t>
      </w:r>
    </w:p>
    <w:p w14:paraId="3E849A94">
      <w:pPr>
        <w:ind w:firstLine="420" w:firstLineChars="200"/>
        <w:rPr>
          <w:rFonts w:ascii="宋体" w:hAnsi="宋体"/>
          <w:color w:val="auto"/>
        </w:rPr>
      </w:pPr>
      <w:r>
        <w:rPr>
          <w:rFonts w:hint="eastAsia" w:ascii="宋体" w:hAnsi="宋体"/>
          <w:color w:val="auto"/>
        </w:rPr>
        <w:t>a．报价人在报价文件有效期内撤回其报价文件的；</w:t>
      </w:r>
    </w:p>
    <w:p w14:paraId="533A74E5">
      <w:pPr>
        <w:ind w:firstLine="420" w:firstLineChars="200"/>
        <w:rPr>
          <w:rFonts w:ascii="宋体" w:hAnsi="宋体"/>
          <w:color w:val="auto"/>
        </w:rPr>
      </w:pPr>
      <w:r>
        <w:rPr>
          <w:rFonts w:hint="eastAsia" w:ascii="宋体" w:hAnsi="宋体"/>
          <w:color w:val="auto"/>
        </w:rPr>
        <w:t>b．中选人因自身原因未能在规定期限内签署合同的；签订合同时提出更改询价通知书或报价文件实质性内容的；</w:t>
      </w:r>
    </w:p>
    <w:p w14:paraId="5A475DAB">
      <w:pPr>
        <w:ind w:firstLine="420" w:firstLineChars="200"/>
        <w:rPr>
          <w:rFonts w:ascii="宋体" w:hAnsi="宋体"/>
          <w:color w:val="auto"/>
        </w:rPr>
      </w:pPr>
      <w:r>
        <w:rPr>
          <w:rFonts w:hint="eastAsia" w:ascii="宋体" w:hAnsi="宋体"/>
          <w:color w:val="auto"/>
        </w:rPr>
        <w:t>c. 提供虚假资信材料的；</w:t>
      </w:r>
    </w:p>
    <w:p w14:paraId="0927141A">
      <w:pPr>
        <w:ind w:firstLine="420" w:firstLineChars="200"/>
        <w:rPr>
          <w:rFonts w:ascii="宋体" w:hAnsi="宋体"/>
          <w:color w:val="auto"/>
        </w:rPr>
      </w:pPr>
      <w:r>
        <w:rPr>
          <w:rFonts w:hint="eastAsia" w:ascii="宋体" w:hAnsi="宋体"/>
          <w:color w:val="auto"/>
        </w:rPr>
        <w:t>d．与他人串通报价、哄抬报价的；</w:t>
      </w:r>
    </w:p>
    <w:p w14:paraId="632A0DAD">
      <w:pPr>
        <w:ind w:firstLine="420" w:firstLineChars="200"/>
        <w:rPr>
          <w:rFonts w:ascii="宋体" w:hAnsi="宋体"/>
          <w:color w:val="auto"/>
        </w:rPr>
      </w:pPr>
      <w:r>
        <w:rPr>
          <w:rFonts w:hint="eastAsia" w:ascii="宋体" w:hAnsi="宋体"/>
          <w:color w:val="auto"/>
        </w:rPr>
        <w:t>e. 在询价过程中有其他违规行为或未遵守本询价通知书的其它有关规定的。</w:t>
      </w:r>
    </w:p>
    <w:p w14:paraId="6B5AE559">
      <w:pPr>
        <w:pStyle w:val="23"/>
        <w:ind w:firstLine="422" w:firstLineChars="200"/>
        <w:rPr>
          <w:rFonts w:ascii="Times New Roman" w:hAnsi="Times New Roman"/>
          <w:b/>
          <w:color w:val="auto"/>
        </w:rPr>
      </w:pPr>
      <w:r>
        <w:rPr>
          <w:rFonts w:ascii="Times New Roman" w:hAnsi="Times New Roman"/>
          <w:b/>
          <w:color w:val="auto"/>
        </w:rPr>
        <w:t>其它应注意事项</w:t>
      </w:r>
    </w:p>
    <w:p w14:paraId="30D76EC7">
      <w:pPr>
        <w:ind w:firstLine="420" w:firstLineChars="20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为了有助于对报价文件进行审核、评估和比较，学院有权向报价方报价文件中含义不明确或对同类问题表述不一致或者有明显文字和计算错误的内容提出质疑，请报价方澄清其报价内容。报价方有责任按照学院通知的时间、地点指派专人进行答疑和澄清。</w:t>
      </w:r>
    </w:p>
    <w:p w14:paraId="6D878BCA">
      <w:pPr>
        <w:ind w:firstLine="420" w:firstLineChars="200"/>
        <w:rPr>
          <w:rFonts w:ascii="宋体" w:hAnsi="宋体"/>
          <w:color w:val="auto"/>
        </w:rPr>
      </w:pPr>
      <w:r>
        <w:rPr>
          <w:rFonts w:hint="eastAsia" w:ascii="宋体" w:hAnsi="宋体"/>
          <w:color w:val="auto"/>
        </w:rPr>
        <w:t>（2</w:t>
      </w:r>
      <w:r>
        <w:rPr>
          <w:rFonts w:ascii="宋体" w:hAnsi="宋体"/>
          <w:color w:val="auto"/>
        </w:rPr>
        <w:t>）在报价期间，报价人不得向询价委员询问涉及询价的情况，不得进行旨在影响询价结果的活动。</w:t>
      </w:r>
    </w:p>
    <w:p w14:paraId="1E3BF2BA">
      <w:pPr>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）询价委员会不向落选方解释落选原因，不退还报价文件。</w:t>
      </w:r>
    </w:p>
    <w:p w14:paraId="6953A574">
      <w:pPr>
        <w:ind w:firstLine="420" w:firstLineChars="20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）在报价、询价过程中如有报价人联合</w:t>
      </w:r>
      <w:r>
        <w:rPr>
          <w:rFonts w:hint="eastAsia" w:ascii="宋体" w:hAnsi="宋体"/>
          <w:color w:val="auto"/>
        </w:rPr>
        <w:t>，</w:t>
      </w:r>
      <w:r>
        <w:rPr>
          <w:rFonts w:ascii="宋体" w:hAnsi="宋体"/>
          <w:color w:val="auto"/>
        </w:rPr>
        <w:t>故意抬高报价或进行其他不正当行为时，学院有权中止报价或询价。</w:t>
      </w:r>
    </w:p>
    <w:p w14:paraId="412EECA4">
      <w:pPr>
        <w:ind w:firstLine="420" w:firstLineChars="200"/>
        <w:rPr>
          <w:rFonts w:ascii="宋体" w:hAnsi="宋体"/>
          <w:color w:val="auto"/>
        </w:rPr>
      </w:pPr>
      <w:r>
        <w:rPr>
          <w:rFonts w:ascii="宋体" w:hAnsi="宋体"/>
          <w:color w:val="auto"/>
        </w:rPr>
        <w:t>（</w:t>
      </w:r>
      <w:r>
        <w:rPr>
          <w:rFonts w:hint="eastAsia" w:ascii="宋体" w:hAnsi="宋体"/>
          <w:color w:val="auto"/>
        </w:rPr>
        <w:t>5</w:t>
      </w:r>
      <w:r>
        <w:rPr>
          <w:rFonts w:ascii="宋体" w:hAnsi="宋体"/>
          <w:color w:val="auto"/>
        </w:rPr>
        <w:t>）报价文件属下列情况之一的，应当在资格性、符合性检查时按照无效报价处理：①未按照询价通知书规定要求密封、签署、盖章的；②不具备询价通知书中规定资格要求的；③不符合法律、法规和询价通知书中规定的其他实质性要求的</w:t>
      </w:r>
      <w:r>
        <w:rPr>
          <w:rFonts w:hint="eastAsia" w:ascii="宋体" w:hAnsi="宋体"/>
          <w:color w:val="auto"/>
        </w:rPr>
        <w:t>等</w:t>
      </w:r>
      <w:r>
        <w:rPr>
          <w:rFonts w:ascii="宋体" w:hAnsi="宋体"/>
          <w:color w:val="auto"/>
        </w:rPr>
        <w:t>。</w:t>
      </w:r>
    </w:p>
    <w:p w14:paraId="525EE519">
      <w:pPr>
        <w:ind w:firstLine="420" w:firstLineChars="200"/>
        <w:rPr>
          <w:rFonts w:ascii="宋体" w:hAnsi="宋体"/>
          <w:color w:val="auto"/>
        </w:rPr>
      </w:pPr>
      <w:r>
        <w:rPr>
          <w:rFonts w:ascii="宋体" w:hAnsi="宋体"/>
          <w:color w:val="auto"/>
        </w:rPr>
        <w:t>（</w:t>
      </w:r>
      <w:r>
        <w:rPr>
          <w:rFonts w:hint="eastAsia" w:ascii="宋体" w:hAnsi="宋体"/>
          <w:color w:val="auto"/>
        </w:rPr>
        <w:t>6</w:t>
      </w:r>
      <w:r>
        <w:rPr>
          <w:rFonts w:ascii="宋体" w:hAnsi="宋体"/>
          <w:color w:val="auto"/>
        </w:rPr>
        <w:t>）在询价采购过程中，出现下列情形之一的，应予废除报价：①影响公平、公正询价的违法、违规行为的；②报价人的报价均超过了采购预算，采购人不能承受的。</w:t>
      </w:r>
    </w:p>
    <w:p w14:paraId="284AACD2">
      <w:pPr>
        <w:ind w:firstLine="420" w:firstLineChars="200"/>
        <w:rPr>
          <w:rFonts w:ascii="宋体" w:hAnsi="宋体"/>
          <w:color w:val="auto"/>
        </w:rPr>
      </w:pPr>
      <w:r>
        <w:rPr>
          <w:rFonts w:hint="eastAsia" w:ascii="宋体" w:hAnsi="宋体"/>
          <w:color w:val="auto"/>
        </w:rPr>
        <w:t>（7）询价人在正式签订本询价协议书前任何时候均有权根据询价委员会评审意见接受或拒绝报价、宣布报价程序无效或拒绝所有报价。</w:t>
      </w:r>
    </w:p>
    <w:p w14:paraId="16C4586C">
      <w:pPr>
        <w:ind w:firstLine="420" w:firstLineChars="200"/>
        <w:rPr>
          <w:rFonts w:ascii="宋体" w:hAnsi="宋体"/>
          <w:color w:val="auto"/>
        </w:rPr>
      </w:pPr>
      <w:r>
        <w:rPr>
          <w:rFonts w:hint="eastAsia" w:ascii="宋体" w:hAnsi="宋体"/>
          <w:color w:val="auto"/>
        </w:rPr>
        <w:t>（8）询价人有权拒绝价格最低的报价。</w:t>
      </w:r>
    </w:p>
    <w:p w14:paraId="26CFE728">
      <w:pPr>
        <w:ind w:firstLine="420" w:firstLineChars="200"/>
        <w:rPr>
          <w:rFonts w:ascii="宋体" w:hAnsi="宋体"/>
          <w:b/>
          <w:color w:val="auto"/>
        </w:rPr>
      </w:pPr>
      <w:r>
        <w:rPr>
          <w:rFonts w:hint="eastAsia" w:ascii="宋体" w:hAnsi="宋体"/>
          <w:color w:val="auto"/>
        </w:rPr>
        <w:t>（9）在保持其报价不变的前提下，询价人鼓励并欢迎报价人在报价文件中报出对询价人有利的供货和安装周期，询价人将充分考虑报价人依据本条款报出的计划周期对询价人的有利程度及可行性，在评价时做出相应的评定。</w:t>
      </w:r>
      <w:r>
        <w:rPr>
          <w:rFonts w:hint="eastAsia" w:ascii="宋体" w:hAnsi="宋体"/>
          <w:b/>
          <w:color w:val="auto"/>
        </w:rPr>
        <w:t xml:space="preserve">    </w:t>
      </w:r>
    </w:p>
    <w:p w14:paraId="1600E039">
      <w:pPr>
        <w:ind w:firstLine="422" w:firstLineChars="200"/>
        <w:rPr>
          <w:rFonts w:ascii="宋体" w:hAnsi="宋体"/>
          <w:b/>
          <w:color w:val="auto"/>
        </w:rPr>
      </w:pPr>
      <w:r>
        <w:rPr>
          <w:rFonts w:hint="eastAsia" w:ascii="宋体" w:hAnsi="宋体"/>
          <w:b/>
          <w:color w:val="auto"/>
        </w:rPr>
        <w:t>14．签订合同</w:t>
      </w:r>
    </w:p>
    <w:p w14:paraId="45FC6205">
      <w:pPr>
        <w:ind w:firstLine="420" w:firstLineChars="200"/>
        <w:rPr>
          <w:rFonts w:ascii="宋体" w:hAnsi="宋体"/>
          <w:color w:val="auto"/>
        </w:rPr>
      </w:pPr>
      <w:r>
        <w:rPr>
          <w:rFonts w:hint="eastAsia" w:ascii="宋体" w:hAnsi="宋体"/>
          <w:color w:val="auto"/>
        </w:rPr>
        <w:t>采购合同采用双方友好协商协议确定。</w:t>
      </w:r>
    </w:p>
    <w:p w14:paraId="3FECD916">
      <w:pPr>
        <w:ind w:firstLine="420" w:firstLineChars="200"/>
        <w:rPr>
          <w:rFonts w:ascii="宋体" w:hAnsi="宋体"/>
          <w:b/>
          <w:color w:val="auto"/>
        </w:rPr>
      </w:pPr>
      <w:r>
        <w:rPr>
          <w:rFonts w:hint="eastAsia" w:ascii="宋体" w:hAnsi="宋体"/>
          <w:color w:val="auto"/>
        </w:rPr>
        <w:t>合同签订</w:t>
      </w:r>
      <w:r>
        <w:rPr>
          <w:rFonts w:ascii="宋体" w:hAnsi="宋体"/>
          <w:color w:val="auto"/>
        </w:rPr>
        <w:t>后</w:t>
      </w:r>
      <w:r>
        <w:rPr>
          <w:rFonts w:hint="eastAsia" w:ascii="宋体" w:hAnsi="宋体"/>
          <w:color w:val="auto"/>
        </w:rPr>
        <w:t>，给予合同款30%的支付作为</w:t>
      </w:r>
      <w:r>
        <w:rPr>
          <w:rFonts w:ascii="宋体" w:hAnsi="宋体"/>
          <w:color w:val="auto"/>
        </w:rPr>
        <w:t>首付款</w:t>
      </w:r>
      <w:r>
        <w:rPr>
          <w:rFonts w:hint="eastAsia" w:ascii="宋体" w:hAnsi="宋体"/>
          <w:color w:val="auto"/>
        </w:rPr>
        <w:t>，</w:t>
      </w:r>
      <w:r>
        <w:rPr>
          <w:rFonts w:hint="eastAsia" w:ascii="宋体" w:hAnsi="宋体"/>
          <w:color w:val="auto"/>
          <w:lang w:eastAsia="zh-CN"/>
        </w:rPr>
        <w:t>项目</w:t>
      </w:r>
      <w:r>
        <w:rPr>
          <w:rFonts w:ascii="宋体" w:hAnsi="宋体"/>
          <w:color w:val="auto"/>
        </w:rPr>
        <w:t>完成后，支付合同的</w:t>
      </w:r>
      <w:r>
        <w:rPr>
          <w:rFonts w:hint="eastAsia" w:ascii="宋体" w:hAnsi="宋体"/>
          <w:color w:val="auto"/>
        </w:rPr>
        <w:t>6</w:t>
      </w:r>
      <w:r>
        <w:rPr>
          <w:rFonts w:ascii="宋体" w:hAnsi="宋体"/>
          <w:color w:val="auto"/>
        </w:rPr>
        <w:t>7%，</w:t>
      </w:r>
      <w:r>
        <w:rPr>
          <w:rFonts w:hint="eastAsia" w:ascii="宋体" w:hAnsi="宋体"/>
          <w:color w:val="auto"/>
        </w:rPr>
        <w:t>质保期满给予剩余合同款</w:t>
      </w:r>
      <w:r>
        <w:rPr>
          <w:rFonts w:ascii="宋体" w:hAnsi="宋体"/>
          <w:color w:val="auto"/>
        </w:rPr>
        <w:t>3</w:t>
      </w:r>
      <w:r>
        <w:rPr>
          <w:rFonts w:hint="eastAsia" w:ascii="宋体" w:hAnsi="宋体"/>
          <w:color w:val="auto"/>
        </w:rPr>
        <w:t>%的支付。不管中选与否，甲方不承担报价方本次报价所产生的任何费用。</w:t>
      </w:r>
      <w:r>
        <w:rPr>
          <w:rFonts w:ascii="宋体" w:hAnsi="宋体"/>
          <w:b/>
          <w:color w:val="auto"/>
        </w:rPr>
        <w:br w:type="page"/>
      </w:r>
    </w:p>
    <w:p w14:paraId="0803716D">
      <w:pPr>
        <w:jc w:val="center"/>
        <w:rPr>
          <w:rFonts w:ascii="黑体" w:hAnsi="宋体" w:eastAsia="黑体"/>
          <w:b/>
          <w:color w:val="auto"/>
          <w:sz w:val="36"/>
          <w:szCs w:val="36"/>
        </w:rPr>
      </w:pPr>
      <w:r>
        <w:rPr>
          <w:rFonts w:hint="eastAsia" w:ascii="黑体" w:hAnsi="宋体" w:eastAsia="黑体"/>
          <w:b/>
          <w:color w:val="auto"/>
          <w:sz w:val="36"/>
          <w:szCs w:val="36"/>
        </w:rPr>
        <w:t>第二章 附  件</w:t>
      </w:r>
    </w:p>
    <w:p w14:paraId="6657CCBB">
      <w:pPr>
        <w:pStyle w:val="3"/>
        <w:spacing w:line="240" w:lineRule="auto"/>
        <w:rPr>
          <w:rFonts w:hAnsi="宋体"/>
          <w:color w:val="auto"/>
          <w:sz w:val="24"/>
        </w:rPr>
      </w:pPr>
      <w:r>
        <w:rPr>
          <w:rFonts w:hint="eastAsia" w:ascii="仿宋_GB2312" w:eastAsia="仿宋_GB2312" w:cs="宋体"/>
          <w:color w:val="auto"/>
          <w:lang w:val="zh-CN"/>
        </w:rPr>
        <w:t xml:space="preserve">附件一：              </w:t>
      </w:r>
      <w:bookmarkStart w:id="2" w:name="_Toc300551684"/>
      <w:r>
        <w:rPr>
          <w:rFonts w:hint="eastAsia"/>
          <w:b w:val="0"/>
          <w:color w:val="auto"/>
        </w:rPr>
        <w:t>报</w:t>
      </w:r>
      <w:r>
        <w:rPr>
          <w:b w:val="0"/>
          <w:color w:val="auto"/>
        </w:rPr>
        <w:t xml:space="preserve"> </w:t>
      </w:r>
      <w:r>
        <w:rPr>
          <w:rFonts w:hint="eastAsia"/>
          <w:b w:val="0"/>
          <w:color w:val="auto"/>
        </w:rPr>
        <w:t>价</w:t>
      </w:r>
      <w:r>
        <w:rPr>
          <w:b w:val="0"/>
          <w:color w:val="auto"/>
        </w:rPr>
        <w:t xml:space="preserve"> 函</w:t>
      </w:r>
      <w:bookmarkEnd w:id="2"/>
    </w:p>
    <w:p w14:paraId="6E352C60">
      <w:pPr>
        <w:pStyle w:val="23"/>
        <w:spacing w:line="400" w:lineRule="exact"/>
        <w:rPr>
          <w:rFonts w:hAnsi="宋体"/>
          <w:color w:val="auto"/>
          <w:sz w:val="24"/>
          <w:szCs w:val="28"/>
        </w:rPr>
      </w:pPr>
      <w:r>
        <w:rPr>
          <w:rFonts w:hAnsi="宋体"/>
          <w:color w:val="auto"/>
          <w:sz w:val="24"/>
          <w:szCs w:val="28"/>
        </w:rPr>
        <w:t>致：</w:t>
      </w:r>
      <w:r>
        <w:rPr>
          <w:rFonts w:hAnsi="宋体"/>
          <w:color w:val="auto"/>
          <w:sz w:val="24"/>
          <w:szCs w:val="28"/>
          <w:u w:val="single"/>
        </w:rPr>
        <w:t xml:space="preserve">    </w:t>
      </w:r>
      <w:r>
        <w:rPr>
          <w:rFonts w:hint="eastAsia" w:hAnsi="宋体"/>
          <w:color w:val="auto"/>
          <w:sz w:val="24"/>
          <w:szCs w:val="28"/>
          <w:u w:val="single"/>
        </w:rPr>
        <w:t>石油化工管理干部学院</w:t>
      </w:r>
      <w:r>
        <w:rPr>
          <w:rFonts w:hAnsi="宋体"/>
          <w:color w:val="auto"/>
          <w:sz w:val="24"/>
          <w:szCs w:val="28"/>
          <w:u w:val="single"/>
        </w:rPr>
        <w:t xml:space="preserve"> </w:t>
      </w:r>
      <w:r>
        <w:rPr>
          <w:rFonts w:hAnsi="宋体"/>
          <w:color w:val="auto"/>
          <w:sz w:val="24"/>
          <w:szCs w:val="28"/>
        </w:rPr>
        <w:t xml:space="preserve">     </w:t>
      </w:r>
    </w:p>
    <w:p w14:paraId="46B1CD0F">
      <w:pPr>
        <w:pStyle w:val="23"/>
        <w:spacing w:line="400" w:lineRule="exact"/>
        <w:rPr>
          <w:rFonts w:hAnsi="宋体"/>
          <w:color w:val="auto"/>
          <w:sz w:val="24"/>
          <w:szCs w:val="28"/>
        </w:rPr>
      </w:pPr>
      <w:r>
        <w:rPr>
          <w:rFonts w:hAnsi="宋体"/>
          <w:color w:val="auto"/>
          <w:sz w:val="24"/>
          <w:szCs w:val="28"/>
        </w:rPr>
        <w:t>1. 根据已收到贵方</w:t>
      </w:r>
      <w:r>
        <w:rPr>
          <w:rFonts w:hint="eastAsia" w:hAnsi="宋体"/>
          <w:color w:val="auto"/>
          <w:sz w:val="24"/>
          <w:szCs w:val="28"/>
        </w:rPr>
        <w:t>石油化工管理干部学院</w:t>
      </w:r>
      <w:r>
        <w:rPr>
          <w:rFonts w:hint="eastAsia" w:hAnsi="宋体"/>
          <w:color w:val="auto"/>
          <w:sz w:val="24"/>
          <w:szCs w:val="28"/>
          <w:lang w:eastAsia="zh-CN"/>
        </w:rPr>
        <w:t>图书馆桌椅拆卸运输储存维修安装项目</w:t>
      </w:r>
      <w:r>
        <w:rPr>
          <w:rFonts w:hAnsi="宋体"/>
          <w:color w:val="auto"/>
          <w:sz w:val="24"/>
          <w:szCs w:val="28"/>
        </w:rPr>
        <w:t>询价通知书</w:t>
      </w:r>
      <w:r>
        <w:rPr>
          <w:rFonts w:hAnsi="宋体"/>
          <w:color w:val="auto"/>
          <w:sz w:val="24"/>
        </w:rPr>
        <w:t>及其补充文件，遵照国家有关规定，经现场</w:t>
      </w:r>
      <w:r>
        <w:rPr>
          <w:rFonts w:hint="eastAsia" w:hAnsi="宋体"/>
          <w:color w:val="auto"/>
          <w:sz w:val="24"/>
        </w:rPr>
        <w:t>踏勘</w:t>
      </w:r>
      <w:r>
        <w:rPr>
          <w:rFonts w:hAnsi="宋体"/>
          <w:color w:val="auto"/>
          <w:sz w:val="24"/>
        </w:rPr>
        <w:t>和研究了上述文件后，我方愿以</w:t>
      </w:r>
      <w:r>
        <w:rPr>
          <w:rFonts w:hAnsi="宋体"/>
          <w:color w:val="auto"/>
          <w:sz w:val="24"/>
          <w:szCs w:val="28"/>
        </w:rPr>
        <w:t>人民币（大写）</w:t>
      </w:r>
      <w:r>
        <w:rPr>
          <w:rFonts w:hAnsi="宋体"/>
          <w:color w:val="auto"/>
          <w:sz w:val="24"/>
          <w:szCs w:val="28"/>
          <w:u w:val="single"/>
        </w:rPr>
        <w:t xml:space="preserve">               </w:t>
      </w:r>
      <w:r>
        <w:rPr>
          <w:rFonts w:hAnsi="宋体"/>
          <w:color w:val="auto"/>
          <w:sz w:val="24"/>
          <w:szCs w:val="28"/>
        </w:rPr>
        <w:t>元（RMB：</w:t>
      </w:r>
      <w:r>
        <w:rPr>
          <w:rFonts w:ascii="Lucida Console" w:hAnsi="Lucida Console"/>
          <w:color w:val="auto"/>
          <w:kern w:val="0"/>
          <w:sz w:val="24"/>
          <w:szCs w:val="28"/>
        </w:rPr>
        <w:t>¥</w:t>
      </w:r>
      <w:r>
        <w:rPr>
          <w:rFonts w:hAnsi="宋体"/>
          <w:color w:val="auto"/>
          <w:sz w:val="24"/>
          <w:szCs w:val="28"/>
          <w:u w:val="single"/>
        </w:rPr>
        <w:t xml:space="preserve">       </w:t>
      </w:r>
      <w:r>
        <w:rPr>
          <w:rFonts w:hAnsi="宋体"/>
          <w:color w:val="auto"/>
          <w:sz w:val="24"/>
          <w:szCs w:val="28"/>
        </w:rPr>
        <w:t>元）的报价并按上述要求和相关技术规范的条件要求承包上述项目。</w:t>
      </w:r>
    </w:p>
    <w:p w14:paraId="63C15C0D">
      <w:pPr>
        <w:pStyle w:val="23"/>
        <w:spacing w:line="400" w:lineRule="exact"/>
        <w:rPr>
          <w:rFonts w:hAnsi="宋体"/>
          <w:color w:val="auto"/>
          <w:sz w:val="24"/>
          <w:szCs w:val="28"/>
        </w:rPr>
      </w:pPr>
      <w:r>
        <w:rPr>
          <w:rFonts w:hAnsi="宋体"/>
          <w:color w:val="auto"/>
          <w:sz w:val="24"/>
          <w:szCs w:val="28"/>
        </w:rPr>
        <w:t>2. 我方已详细审核全部询价通知书及其补充文件（包括</w:t>
      </w:r>
      <w:r>
        <w:rPr>
          <w:rFonts w:hint="eastAsia" w:hAnsi="宋体"/>
          <w:color w:val="auto"/>
          <w:sz w:val="24"/>
          <w:szCs w:val="28"/>
        </w:rPr>
        <w:t>技术文档</w:t>
      </w:r>
      <w:r>
        <w:rPr>
          <w:rFonts w:hAnsi="宋体"/>
          <w:color w:val="auto"/>
          <w:sz w:val="24"/>
          <w:szCs w:val="28"/>
        </w:rPr>
        <w:t>、相关要求），并接受询价通知书对此次报价的有关规定。</w:t>
      </w:r>
    </w:p>
    <w:p w14:paraId="33714C2B">
      <w:pPr>
        <w:pStyle w:val="23"/>
        <w:spacing w:line="400" w:lineRule="exact"/>
        <w:rPr>
          <w:rFonts w:hAnsi="宋体"/>
          <w:color w:val="auto"/>
          <w:sz w:val="24"/>
          <w:szCs w:val="28"/>
        </w:rPr>
      </w:pPr>
      <w:r>
        <w:rPr>
          <w:rFonts w:hAnsi="宋体"/>
          <w:color w:val="auto"/>
          <w:sz w:val="24"/>
          <w:szCs w:val="28"/>
        </w:rPr>
        <w:t>3. 我方承认报价函是我方报价文件的组成部分。</w:t>
      </w:r>
    </w:p>
    <w:p w14:paraId="77155E1C">
      <w:pPr>
        <w:pStyle w:val="23"/>
        <w:spacing w:line="400" w:lineRule="exact"/>
        <w:rPr>
          <w:rFonts w:hAnsi="宋体"/>
          <w:color w:val="auto"/>
          <w:sz w:val="24"/>
          <w:szCs w:val="28"/>
        </w:rPr>
      </w:pPr>
      <w:r>
        <w:rPr>
          <w:rFonts w:hAnsi="宋体"/>
          <w:color w:val="auto"/>
          <w:sz w:val="24"/>
          <w:szCs w:val="28"/>
        </w:rPr>
        <w:t>4. 一旦我方中选，我方保证在合同相应条款中规定的</w:t>
      </w:r>
      <w:r>
        <w:rPr>
          <w:rFonts w:hint="eastAsia" w:hAnsi="宋体"/>
          <w:color w:val="auto"/>
          <w:sz w:val="24"/>
          <w:szCs w:val="28"/>
        </w:rPr>
        <w:t>时间完成全部施工</w:t>
      </w:r>
      <w:r>
        <w:rPr>
          <w:rFonts w:hAnsi="宋体"/>
          <w:color w:val="auto"/>
          <w:sz w:val="24"/>
          <w:szCs w:val="28"/>
        </w:rPr>
        <w:t>，并在相应合同条款规定的完工日期完工和交付全部项目，共计日历</w:t>
      </w:r>
      <w:r>
        <w:rPr>
          <w:rFonts w:hAnsi="宋体"/>
          <w:color w:val="auto"/>
          <w:sz w:val="24"/>
          <w:szCs w:val="28"/>
          <w:u w:val="single"/>
        </w:rPr>
        <w:t xml:space="preserve">    </w:t>
      </w:r>
      <w:r>
        <w:rPr>
          <w:rFonts w:hAnsi="宋体"/>
          <w:color w:val="auto"/>
          <w:sz w:val="24"/>
          <w:szCs w:val="28"/>
        </w:rPr>
        <w:t>天内完工并移交全部项目。</w:t>
      </w:r>
    </w:p>
    <w:p w14:paraId="290E6840">
      <w:pPr>
        <w:pStyle w:val="23"/>
        <w:spacing w:line="400" w:lineRule="exact"/>
        <w:rPr>
          <w:rFonts w:hAnsi="宋体"/>
          <w:color w:val="auto"/>
          <w:sz w:val="24"/>
          <w:szCs w:val="28"/>
        </w:rPr>
      </w:pPr>
      <w:r>
        <w:rPr>
          <w:rFonts w:hAnsi="宋体"/>
          <w:color w:val="auto"/>
          <w:sz w:val="24"/>
          <w:szCs w:val="28"/>
        </w:rPr>
        <w:t>5. 我方同意所递交的报价文件在“报价须知前附表”规定的报价有效期内有效，在此期间内我方的报价中选，我方将受此约束。</w:t>
      </w:r>
    </w:p>
    <w:p w14:paraId="5717C035">
      <w:pPr>
        <w:pStyle w:val="23"/>
        <w:spacing w:line="400" w:lineRule="exact"/>
        <w:rPr>
          <w:rFonts w:hAnsi="宋体"/>
          <w:color w:val="auto"/>
          <w:sz w:val="24"/>
          <w:szCs w:val="28"/>
        </w:rPr>
      </w:pPr>
      <w:r>
        <w:rPr>
          <w:rFonts w:hAnsi="宋体"/>
          <w:color w:val="auto"/>
          <w:sz w:val="24"/>
          <w:szCs w:val="28"/>
        </w:rPr>
        <w:t>6. 除非另外达成协议并生效，贵方的中选通知书和本报价文件将构成约束我们双方的文件。</w:t>
      </w:r>
    </w:p>
    <w:p w14:paraId="5AB7ACB8">
      <w:pPr>
        <w:pStyle w:val="23"/>
        <w:spacing w:line="400" w:lineRule="exact"/>
        <w:rPr>
          <w:rFonts w:hAnsi="宋体"/>
          <w:color w:val="auto"/>
          <w:sz w:val="24"/>
          <w:szCs w:val="28"/>
        </w:rPr>
      </w:pPr>
      <w:r>
        <w:rPr>
          <w:rFonts w:hAnsi="宋体"/>
          <w:color w:val="auto"/>
          <w:sz w:val="24"/>
          <w:szCs w:val="28"/>
        </w:rPr>
        <w:t>7. 我方理解贵方将不受必须接受你们所收到的最低报价或其他任何报价文件的约束。</w:t>
      </w:r>
    </w:p>
    <w:p w14:paraId="4D8D9A99">
      <w:pPr>
        <w:pStyle w:val="23"/>
        <w:spacing w:line="400" w:lineRule="exact"/>
        <w:rPr>
          <w:rFonts w:hint="eastAsia" w:hAnsi="宋体" w:eastAsia="宋体"/>
          <w:color w:val="auto"/>
          <w:sz w:val="24"/>
          <w:szCs w:val="28"/>
          <w:lang w:eastAsia="zh-CN"/>
        </w:rPr>
      </w:pPr>
      <w:r>
        <w:rPr>
          <w:rFonts w:hAnsi="宋体"/>
          <w:color w:val="auto"/>
          <w:sz w:val="24"/>
          <w:szCs w:val="28"/>
        </w:rPr>
        <w:t>8. 承诺</w:t>
      </w:r>
      <w:r>
        <w:rPr>
          <w:rFonts w:hint="eastAsia" w:hAnsi="宋体"/>
          <w:color w:val="auto"/>
          <w:sz w:val="24"/>
          <w:szCs w:val="28"/>
        </w:rPr>
        <w:t>维修</w:t>
      </w:r>
      <w:r>
        <w:rPr>
          <w:rFonts w:hint="eastAsia" w:hAnsi="宋体"/>
          <w:color w:val="auto"/>
          <w:sz w:val="24"/>
          <w:szCs w:val="28"/>
          <w:lang w:eastAsia="zh-CN"/>
        </w:rPr>
        <w:t>桌椅</w:t>
      </w:r>
      <w:r>
        <w:rPr>
          <w:rFonts w:hint="eastAsia" w:hAnsi="宋体"/>
          <w:color w:val="auto"/>
          <w:sz w:val="24"/>
          <w:szCs w:val="28"/>
        </w:rPr>
        <w:t>质保期</w:t>
      </w:r>
      <w:r>
        <w:rPr>
          <w:rFonts w:hAnsi="宋体"/>
          <w:color w:val="auto"/>
          <w:sz w:val="24"/>
          <w:szCs w:val="28"/>
        </w:rPr>
        <w:t>为（    ）年</w:t>
      </w:r>
      <w:r>
        <w:rPr>
          <w:rFonts w:hint="eastAsia" w:hAnsi="宋体"/>
          <w:color w:val="auto"/>
          <w:sz w:val="24"/>
          <w:szCs w:val="28"/>
          <w:lang w:eastAsia="zh-CN"/>
        </w:rPr>
        <w:t>，所有安装桌椅稳固质保期为（</w:t>
      </w:r>
      <w:r>
        <w:rPr>
          <w:rFonts w:hint="eastAsia" w:hAnsi="宋体"/>
          <w:color w:val="auto"/>
          <w:sz w:val="24"/>
          <w:szCs w:val="28"/>
          <w:lang w:val="en-US" w:eastAsia="zh-CN"/>
        </w:rPr>
        <w:t xml:space="preserve">  </w:t>
      </w:r>
      <w:r>
        <w:rPr>
          <w:rFonts w:hint="eastAsia" w:hAnsi="宋体"/>
          <w:color w:val="auto"/>
          <w:sz w:val="24"/>
          <w:szCs w:val="28"/>
          <w:lang w:eastAsia="zh-CN"/>
        </w:rPr>
        <w:t>）年</w:t>
      </w:r>
      <w:r>
        <w:rPr>
          <w:rFonts w:hAnsi="宋体"/>
          <w:color w:val="auto"/>
          <w:sz w:val="24"/>
          <w:szCs w:val="28"/>
        </w:rPr>
        <w:t>。</w:t>
      </w:r>
      <w:r>
        <w:rPr>
          <w:rFonts w:hint="eastAsia" w:hAnsi="宋体"/>
          <w:color w:val="auto"/>
          <w:sz w:val="24"/>
          <w:szCs w:val="28"/>
          <w:lang w:eastAsia="zh-CN"/>
        </w:rPr>
        <w:t>质保期内每半年安排专业人员上门维护、保养一次。</w:t>
      </w:r>
    </w:p>
    <w:p w14:paraId="22BD98B1">
      <w:pPr>
        <w:pStyle w:val="23"/>
        <w:spacing w:line="400" w:lineRule="exact"/>
        <w:rPr>
          <w:rFonts w:hAnsi="宋体"/>
          <w:color w:val="auto"/>
          <w:sz w:val="24"/>
          <w:szCs w:val="28"/>
        </w:rPr>
      </w:pPr>
      <w:r>
        <w:rPr>
          <w:rFonts w:hAnsi="宋体"/>
          <w:color w:val="auto"/>
          <w:sz w:val="24"/>
          <w:szCs w:val="28"/>
        </w:rPr>
        <w:t>9.售后服务承诺</w:t>
      </w:r>
      <w:r>
        <w:rPr>
          <w:rFonts w:hAnsi="宋体"/>
          <w:color w:val="auto"/>
          <w:sz w:val="24"/>
          <w:szCs w:val="28"/>
          <w:u w:val="single"/>
        </w:rPr>
        <w:t xml:space="preserve">                                </w:t>
      </w:r>
      <w:r>
        <w:rPr>
          <w:rFonts w:hAnsi="宋体"/>
          <w:color w:val="auto"/>
          <w:sz w:val="24"/>
          <w:szCs w:val="28"/>
        </w:rPr>
        <w:t>。</w:t>
      </w:r>
    </w:p>
    <w:p w14:paraId="0F6F9647">
      <w:pPr>
        <w:pStyle w:val="23"/>
        <w:spacing w:line="400" w:lineRule="exact"/>
        <w:rPr>
          <w:rFonts w:hAnsi="宋体"/>
          <w:color w:val="auto"/>
          <w:sz w:val="24"/>
          <w:szCs w:val="28"/>
        </w:rPr>
      </w:pPr>
    </w:p>
    <w:p w14:paraId="152BA613">
      <w:pPr>
        <w:pStyle w:val="23"/>
        <w:spacing w:line="400" w:lineRule="exact"/>
        <w:rPr>
          <w:rFonts w:hAnsi="宋体"/>
          <w:color w:val="auto"/>
          <w:sz w:val="24"/>
          <w:szCs w:val="28"/>
        </w:rPr>
      </w:pPr>
    </w:p>
    <w:p w14:paraId="362E6A76">
      <w:pPr>
        <w:pStyle w:val="23"/>
        <w:spacing w:line="400" w:lineRule="exact"/>
        <w:rPr>
          <w:rFonts w:hAnsi="宋体"/>
          <w:color w:val="auto"/>
          <w:sz w:val="24"/>
          <w:szCs w:val="28"/>
        </w:rPr>
      </w:pPr>
      <w:r>
        <w:rPr>
          <w:rFonts w:hAnsi="宋体"/>
          <w:color w:val="auto"/>
          <w:sz w:val="24"/>
          <w:szCs w:val="28"/>
        </w:rPr>
        <w:t>报价人：（盖章）</w:t>
      </w:r>
      <w:r>
        <w:rPr>
          <w:rFonts w:hAnsi="宋体"/>
          <w:color w:val="auto"/>
          <w:sz w:val="24"/>
          <w:szCs w:val="28"/>
          <w:u w:val="single"/>
        </w:rPr>
        <w:t xml:space="preserve">                                            </w:t>
      </w:r>
      <w:r>
        <w:rPr>
          <w:rFonts w:hAnsi="宋体"/>
          <w:color w:val="auto"/>
          <w:sz w:val="24"/>
          <w:szCs w:val="28"/>
        </w:rPr>
        <w:t xml:space="preserve">                           </w:t>
      </w:r>
    </w:p>
    <w:p w14:paraId="5AD47BCF">
      <w:pPr>
        <w:pStyle w:val="23"/>
        <w:spacing w:line="400" w:lineRule="exact"/>
        <w:rPr>
          <w:rFonts w:hAnsi="宋体"/>
          <w:color w:val="auto"/>
          <w:sz w:val="24"/>
          <w:szCs w:val="28"/>
        </w:rPr>
      </w:pPr>
    </w:p>
    <w:p w14:paraId="2298A60D">
      <w:pPr>
        <w:pStyle w:val="23"/>
        <w:spacing w:line="400" w:lineRule="exact"/>
        <w:rPr>
          <w:rFonts w:hAnsi="宋体"/>
          <w:color w:val="auto"/>
          <w:sz w:val="24"/>
          <w:szCs w:val="28"/>
        </w:rPr>
      </w:pPr>
    </w:p>
    <w:p w14:paraId="0CBFEFC2">
      <w:pPr>
        <w:pStyle w:val="23"/>
        <w:spacing w:line="400" w:lineRule="exact"/>
        <w:rPr>
          <w:rFonts w:hAnsi="宋体"/>
          <w:color w:val="auto"/>
          <w:sz w:val="24"/>
          <w:szCs w:val="28"/>
          <w:u w:val="single"/>
        </w:rPr>
      </w:pPr>
      <w:r>
        <w:rPr>
          <w:rFonts w:hAnsi="宋体"/>
          <w:color w:val="auto"/>
          <w:sz w:val="24"/>
          <w:szCs w:val="28"/>
        </w:rPr>
        <w:t>法定代表人或其委托代理人：（签字或盖章）</w:t>
      </w:r>
      <w:r>
        <w:rPr>
          <w:rFonts w:hAnsi="宋体"/>
          <w:color w:val="auto"/>
          <w:sz w:val="24"/>
          <w:szCs w:val="28"/>
          <w:u w:val="single"/>
        </w:rPr>
        <w:t xml:space="preserve">                    </w:t>
      </w:r>
    </w:p>
    <w:p w14:paraId="0AF06B0C">
      <w:pPr>
        <w:pStyle w:val="23"/>
        <w:spacing w:line="400" w:lineRule="exact"/>
        <w:rPr>
          <w:rFonts w:hAnsi="宋体"/>
          <w:color w:val="auto"/>
          <w:sz w:val="24"/>
          <w:szCs w:val="28"/>
          <w:u w:val="single"/>
        </w:rPr>
      </w:pPr>
      <w:r>
        <w:rPr>
          <w:rFonts w:hAnsi="宋体"/>
          <w:color w:val="auto"/>
          <w:sz w:val="24"/>
          <w:szCs w:val="28"/>
        </w:rPr>
        <w:t>邮政编码：</w:t>
      </w:r>
      <w:r>
        <w:rPr>
          <w:rFonts w:hAnsi="宋体"/>
          <w:color w:val="auto"/>
          <w:sz w:val="24"/>
          <w:szCs w:val="28"/>
          <w:u w:val="single"/>
        </w:rPr>
        <w:t xml:space="preserve">            </w:t>
      </w:r>
      <w:r>
        <w:rPr>
          <w:rFonts w:hAnsi="宋体"/>
          <w:color w:val="auto"/>
          <w:sz w:val="24"/>
          <w:szCs w:val="28"/>
        </w:rPr>
        <w:t xml:space="preserve">  电话：</w:t>
      </w:r>
      <w:r>
        <w:rPr>
          <w:rFonts w:hAnsi="宋体"/>
          <w:color w:val="auto"/>
          <w:sz w:val="24"/>
          <w:szCs w:val="28"/>
          <w:u w:val="single"/>
        </w:rPr>
        <w:t xml:space="preserve">             </w:t>
      </w:r>
      <w:r>
        <w:rPr>
          <w:rFonts w:hAnsi="宋体"/>
          <w:color w:val="auto"/>
          <w:sz w:val="24"/>
          <w:szCs w:val="28"/>
        </w:rPr>
        <w:t>传真：</w:t>
      </w:r>
      <w:r>
        <w:rPr>
          <w:rFonts w:hAnsi="宋体"/>
          <w:color w:val="auto"/>
          <w:sz w:val="24"/>
          <w:szCs w:val="28"/>
          <w:u w:val="single"/>
        </w:rPr>
        <w:t xml:space="preserve">           </w:t>
      </w:r>
    </w:p>
    <w:p w14:paraId="61A51DD7">
      <w:pPr>
        <w:pStyle w:val="23"/>
        <w:rPr>
          <w:rFonts w:hAnsi="宋体"/>
          <w:color w:val="auto"/>
          <w:sz w:val="24"/>
          <w:szCs w:val="28"/>
        </w:rPr>
      </w:pPr>
    </w:p>
    <w:p w14:paraId="4A14FD58">
      <w:pPr>
        <w:pStyle w:val="23"/>
        <w:rPr>
          <w:rFonts w:hAnsi="宋体"/>
          <w:color w:val="auto"/>
          <w:sz w:val="24"/>
          <w:szCs w:val="28"/>
        </w:rPr>
      </w:pPr>
      <w:r>
        <w:rPr>
          <w:rFonts w:hAnsi="宋体"/>
          <w:color w:val="auto"/>
          <w:sz w:val="24"/>
          <w:szCs w:val="28"/>
        </w:rPr>
        <w:t xml:space="preserve">           </w:t>
      </w:r>
    </w:p>
    <w:p w14:paraId="33F998BB">
      <w:pPr>
        <w:pStyle w:val="23"/>
        <w:rPr>
          <w:rFonts w:hAnsi="宋体"/>
          <w:color w:val="auto"/>
          <w:sz w:val="24"/>
          <w:szCs w:val="28"/>
        </w:rPr>
      </w:pPr>
    </w:p>
    <w:p w14:paraId="3924A929">
      <w:pPr>
        <w:pStyle w:val="23"/>
        <w:ind w:firstLine="5160" w:firstLineChars="2150"/>
        <w:rPr>
          <w:rFonts w:hAnsi="宋体"/>
          <w:color w:val="auto"/>
          <w:sz w:val="24"/>
          <w:szCs w:val="28"/>
        </w:rPr>
      </w:pPr>
      <w:r>
        <w:rPr>
          <w:rFonts w:hAnsi="宋体"/>
          <w:color w:val="auto"/>
          <w:sz w:val="24"/>
          <w:szCs w:val="28"/>
        </w:rPr>
        <w:t xml:space="preserve"> 日期：     年  月  日</w:t>
      </w:r>
    </w:p>
    <w:p w14:paraId="57E86C61">
      <w:pPr>
        <w:pStyle w:val="23"/>
        <w:rPr>
          <w:rFonts w:hAnsi="宋体"/>
          <w:color w:val="auto"/>
          <w:sz w:val="24"/>
          <w:szCs w:val="28"/>
        </w:rPr>
      </w:pPr>
    </w:p>
    <w:p w14:paraId="181854BA">
      <w:pPr>
        <w:pStyle w:val="23"/>
        <w:rPr>
          <w:rFonts w:hAnsi="宋体"/>
          <w:color w:val="auto"/>
          <w:sz w:val="24"/>
          <w:szCs w:val="28"/>
        </w:rPr>
      </w:pPr>
    </w:p>
    <w:p w14:paraId="1DA2F078">
      <w:pPr>
        <w:rPr>
          <w:rFonts w:ascii="仿宋_GB2312" w:hAnsi="宋体" w:eastAsia="仿宋_GB2312"/>
          <w:b/>
          <w:bCs/>
          <w:color w:val="auto"/>
          <w:sz w:val="32"/>
          <w:szCs w:val="32"/>
        </w:rPr>
      </w:pPr>
      <w:r>
        <w:rPr>
          <w:rFonts w:hint="eastAsia" w:ascii="仿宋_GB2312" w:eastAsia="仿宋_GB2312" w:cs="宋体"/>
          <w:b/>
          <w:color w:val="auto"/>
          <w:sz w:val="32"/>
          <w:szCs w:val="32"/>
          <w:lang w:val="zh-CN"/>
        </w:rPr>
        <w:t>附件二</w:t>
      </w:r>
      <w:r>
        <w:rPr>
          <w:rFonts w:hint="eastAsia" w:ascii="仿宋_GB2312" w:hAnsi="宋体" w:eastAsia="仿宋_GB2312"/>
          <w:b/>
          <w:color w:val="auto"/>
          <w:sz w:val="32"/>
          <w:szCs w:val="32"/>
        </w:rPr>
        <w:t>：</w:t>
      </w:r>
    </w:p>
    <w:p w14:paraId="237A7A40">
      <w:pPr>
        <w:autoSpaceDE w:val="0"/>
        <w:autoSpaceDN w:val="0"/>
        <w:jc w:val="center"/>
        <w:rPr>
          <w:rFonts w:ascii="仿宋_GB2312" w:hAnsi="宋体" w:eastAsia="仿宋_GB2312"/>
          <w:b/>
          <w:bCs/>
          <w:color w:val="auto"/>
          <w:sz w:val="30"/>
          <w:szCs w:val="30"/>
        </w:rPr>
      </w:pPr>
      <w:r>
        <w:rPr>
          <w:rFonts w:hint="eastAsia" w:ascii="宋体" w:hAnsi="宋体" w:cs="宋体"/>
          <w:b/>
          <w:color w:val="auto"/>
          <w:sz w:val="32"/>
          <w:szCs w:val="32"/>
          <w:lang w:val="zh-CN"/>
        </w:rPr>
        <w:t>法人代表授权委托书</w:t>
      </w:r>
    </w:p>
    <w:p w14:paraId="056DB58F">
      <w:pPr>
        <w:spacing w:line="500" w:lineRule="exact"/>
        <w:jc w:val="center"/>
        <w:rPr>
          <w:rFonts w:ascii="仿宋_GB2312" w:hAnsi="宋体" w:eastAsia="仿宋_GB2312"/>
          <w:b/>
          <w:bCs/>
          <w:color w:val="auto"/>
        </w:rPr>
      </w:pPr>
    </w:p>
    <w:p w14:paraId="342202E9">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本授权委托书声明：我（姓名）</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系</w:t>
      </w:r>
      <w:r>
        <w:rPr>
          <w:rFonts w:hint="eastAsia" w:asciiTheme="minorEastAsia" w:hAnsiTheme="minorEastAsia" w:eastAsiaTheme="minorEastAsia"/>
          <w:color w:val="auto"/>
          <w:sz w:val="24"/>
          <w:u w:val="single"/>
        </w:rPr>
        <w:t>（报价人）</w:t>
      </w:r>
      <w:r>
        <w:rPr>
          <w:rFonts w:hint="eastAsia" w:asciiTheme="minorEastAsia" w:hAnsiTheme="minorEastAsia" w:eastAsiaTheme="minorEastAsia"/>
          <w:color w:val="auto"/>
          <w:sz w:val="24"/>
        </w:rPr>
        <w:t>的法定代表人，现授权委托（报价人）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的（姓名）</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为我的授权代理人，以本报价人的名义，代理我参加本次询价。代理人在报价过程中所签署的一切文件和处理与之有关的一切事务，我均予以承认。</w:t>
      </w:r>
    </w:p>
    <w:p w14:paraId="53024791">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代理人无转委权。特此委托。</w:t>
      </w:r>
    </w:p>
    <w:p w14:paraId="07F662A9">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代理人：</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性别：</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职务：</w:t>
      </w:r>
      <w:r>
        <w:rPr>
          <w:rFonts w:hint="eastAsia" w:asciiTheme="minorEastAsia" w:hAnsiTheme="minorEastAsia" w:eastAsiaTheme="minorEastAsia"/>
          <w:color w:val="auto"/>
          <w:sz w:val="24"/>
          <w:u w:val="single"/>
        </w:rPr>
        <w:t xml:space="preserve">             </w:t>
      </w:r>
    </w:p>
    <w:p w14:paraId="2437B996">
      <w:pPr>
        <w:spacing w:line="500" w:lineRule="exact"/>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出生年月：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 民族：</w:t>
      </w:r>
      <w:r>
        <w:rPr>
          <w:rFonts w:hint="eastAsia" w:asciiTheme="minorEastAsia" w:hAnsiTheme="minorEastAsia" w:eastAsiaTheme="minorEastAsia"/>
          <w:color w:val="auto"/>
          <w:sz w:val="24"/>
          <w:u w:val="single"/>
        </w:rPr>
        <w:t xml:space="preserve">            </w:t>
      </w:r>
    </w:p>
    <w:p w14:paraId="3E3B6B4B">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身份证发证机关：</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证号：</w:t>
      </w:r>
      <w:r>
        <w:rPr>
          <w:rFonts w:hint="eastAsia" w:asciiTheme="minorEastAsia" w:hAnsiTheme="minorEastAsia" w:eastAsiaTheme="minorEastAsia"/>
          <w:color w:val="auto"/>
          <w:sz w:val="24"/>
          <w:u w:val="single"/>
        </w:rPr>
        <w:t xml:space="preserve">                    </w:t>
      </w:r>
    </w:p>
    <w:p w14:paraId="179E73B7">
      <w:pPr>
        <w:spacing w:line="500" w:lineRule="exact"/>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授权期限：</w:t>
      </w:r>
      <w:r>
        <w:rPr>
          <w:rFonts w:hint="eastAsia" w:asciiTheme="minorEastAsia" w:hAnsiTheme="minorEastAsia" w:eastAsiaTheme="minorEastAsia"/>
          <w:color w:val="auto"/>
          <w:sz w:val="24"/>
          <w:u w:val="single"/>
        </w:rPr>
        <w:t xml:space="preserve">                                                </w:t>
      </w:r>
    </w:p>
    <w:p w14:paraId="34EA7D10">
      <w:pPr>
        <w:spacing w:line="500" w:lineRule="exact"/>
        <w:ind w:firstLine="480" w:firstLineChars="200"/>
        <w:rPr>
          <w:rFonts w:asciiTheme="minorEastAsia" w:hAnsiTheme="minorEastAsia" w:eastAsiaTheme="minorEastAsia"/>
          <w:color w:val="auto"/>
          <w:sz w:val="24"/>
        </w:rPr>
      </w:pPr>
    </w:p>
    <w:p w14:paraId="2BE41846">
      <w:pPr>
        <w:spacing w:line="500" w:lineRule="exact"/>
        <w:ind w:firstLine="480" w:firstLineChars="200"/>
        <w:rPr>
          <w:rFonts w:asciiTheme="minorEastAsia" w:hAnsiTheme="minorEastAsia" w:eastAsiaTheme="minorEastAsia"/>
          <w:color w:val="auto"/>
          <w:sz w:val="24"/>
        </w:rPr>
      </w:pPr>
    </w:p>
    <w:p w14:paraId="306C1FB1">
      <w:pPr>
        <w:spacing w:line="500" w:lineRule="exact"/>
        <w:ind w:firstLine="480" w:firstLineChars="200"/>
        <w:rPr>
          <w:rFonts w:asciiTheme="minorEastAsia" w:hAnsiTheme="minorEastAsia" w:eastAsiaTheme="minorEastAsia"/>
          <w:color w:val="auto"/>
          <w:sz w:val="24"/>
        </w:rPr>
      </w:pPr>
    </w:p>
    <w:p w14:paraId="65829649">
      <w:pPr>
        <w:spacing w:line="500" w:lineRule="exact"/>
        <w:ind w:firstLine="480" w:firstLineChars="200"/>
        <w:rPr>
          <w:rFonts w:asciiTheme="minorEastAsia" w:hAnsiTheme="minorEastAsia" w:eastAsiaTheme="minorEastAsia"/>
          <w:color w:val="auto"/>
          <w:sz w:val="24"/>
        </w:rPr>
      </w:pPr>
    </w:p>
    <w:p w14:paraId="4FFFA80A">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                   （签字或盖章）</w:t>
      </w:r>
    </w:p>
    <w:p w14:paraId="64B6D597">
      <w:pPr>
        <w:spacing w:line="500" w:lineRule="exact"/>
        <w:ind w:firstLine="480" w:firstLineChars="200"/>
        <w:rPr>
          <w:rFonts w:asciiTheme="minorEastAsia" w:hAnsiTheme="minorEastAsia" w:eastAsiaTheme="minorEastAsia"/>
          <w:color w:val="auto"/>
          <w:sz w:val="24"/>
        </w:rPr>
      </w:pPr>
    </w:p>
    <w:p w14:paraId="07BFA434">
      <w:pPr>
        <w:spacing w:line="500" w:lineRule="exact"/>
        <w:ind w:firstLine="480" w:firstLineChars="200"/>
        <w:rPr>
          <w:rFonts w:asciiTheme="minorEastAsia" w:hAnsiTheme="minorEastAsia" w:eastAsiaTheme="minorEastAsia"/>
          <w:color w:val="auto"/>
          <w:sz w:val="24"/>
        </w:rPr>
      </w:pPr>
    </w:p>
    <w:p w14:paraId="7E8B8925">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报  价  人：                        （盖章）</w:t>
      </w:r>
    </w:p>
    <w:p w14:paraId="74511D69">
      <w:pPr>
        <w:spacing w:line="500" w:lineRule="exact"/>
        <w:ind w:firstLine="480" w:firstLineChars="200"/>
        <w:rPr>
          <w:rFonts w:asciiTheme="minorEastAsia" w:hAnsiTheme="minorEastAsia" w:eastAsiaTheme="minorEastAsia"/>
          <w:color w:val="auto"/>
          <w:sz w:val="24"/>
        </w:rPr>
      </w:pPr>
    </w:p>
    <w:p w14:paraId="13C882FA">
      <w:pPr>
        <w:spacing w:line="500" w:lineRule="exact"/>
        <w:ind w:firstLine="480" w:firstLineChars="200"/>
        <w:rPr>
          <w:rFonts w:asciiTheme="minorEastAsia" w:hAnsiTheme="minorEastAsia" w:eastAsiaTheme="minorEastAsia"/>
          <w:color w:val="auto"/>
          <w:sz w:val="24"/>
        </w:rPr>
      </w:pPr>
    </w:p>
    <w:p w14:paraId="66B6C256">
      <w:pPr>
        <w:spacing w:line="500" w:lineRule="exact"/>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p w14:paraId="1F9EA844">
      <w:pPr>
        <w:spacing w:line="500" w:lineRule="exact"/>
        <w:ind w:firstLine="480" w:firstLineChars="200"/>
        <w:rPr>
          <w:rFonts w:asciiTheme="minorEastAsia" w:hAnsiTheme="minorEastAsia" w:eastAsiaTheme="minorEastAsia"/>
          <w:color w:val="auto"/>
          <w:sz w:val="24"/>
        </w:rPr>
      </w:pPr>
    </w:p>
    <w:p w14:paraId="2BDA4D12">
      <w:pPr>
        <w:spacing w:line="500" w:lineRule="exact"/>
        <w:jc w:val="both"/>
        <w:rPr>
          <w:rFonts w:asciiTheme="minorEastAsia" w:hAnsiTheme="minorEastAsia" w:eastAsiaTheme="minorEastAsia"/>
          <w:color w:val="auto"/>
          <w:sz w:val="24"/>
        </w:rPr>
      </w:pPr>
    </w:p>
    <w:sectPr>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Lucida Console">
    <w:panose1 w:val="020B0609040504020204"/>
    <w:charset w:val="00"/>
    <w:family w:val="modern"/>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D0D1">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14:paraId="0742EF6A">
    <w:pPr>
      <w:pStyle w:val="13"/>
      <w:framePr w:wrap="around" w:vAnchor="text" w:hAnchor="margin" w:xAlign="right" w:y="1"/>
      <w:rPr>
        <w:rStyle w:val="27"/>
      </w:rPr>
    </w:pPr>
  </w:p>
  <w:p w14:paraId="1B99277A">
    <w:pPr>
      <w:pStyle w:val="13"/>
      <w:jc w:val="center"/>
    </w:pPr>
    <w:r>
      <w:rPr>
        <w:rFonts w:hint="eastAsia"/>
      </w:rPr>
      <w:t xml:space="preserve">第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B188E">
    <w:pPr>
      <w:pStyle w:val="13"/>
      <w:framePr w:wrap="around" w:vAnchor="text" w:hAnchor="margin" w:xAlign="center" w:y="1"/>
      <w:rPr>
        <w:rStyle w:val="27"/>
      </w:rPr>
    </w:pPr>
    <w:r>
      <w:fldChar w:fldCharType="begin"/>
    </w:r>
    <w:r>
      <w:rPr>
        <w:rStyle w:val="27"/>
      </w:rPr>
      <w:instrText xml:space="preserve">PAGE  </w:instrText>
    </w:r>
    <w:r>
      <w:fldChar w:fldCharType="end"/>
    </w:r>
  </w:p>
  <w:p w14:paraId="5F16F574">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2762">
    <w:pPr>
      <w:pStyle w:val="14"/>
      <w:rPr>
        <w:szCs w:val="28"/>
      </w:rPr>
    </w:pPr>
    <w:r>
      <w:rPr>
        <w:rFonts w:hint="eastAsia" w:ascii="宋体" w:hAnsi="宋体"/>
        <w:b/>
        <w:sz w:val="28"/>
        <w:szCs w:val="28"/>
      </w:rPr>
      <w:t>学院</w:t>
    </w:r>
    <w:r>
      <w:rPr>
        <w:rFonts w:hint="eastAsia" w:ascii="宋体" w:hAnsi="宋体"/>
        <w:b/>
        <w:sz w:val="28"/>
        <w:szCs w:val="28"/>
        <w:lang w:eastAsia="zh-CN"/>
      </w:rPr>
      <w:t>图书馆桌椅拆卸运输储存维修安装项目</w:t>
    </w:r>
    <w:r>
      <w:rPr>
        <w:rFonts w:hint="eastAsia" w:ascii="宋体" w:hAnsi="宋体"/>
        <w:b/>
        <w:sz w:val="28"/>
        <w:szCs w:val="28"/>
      </w:rPr>
      <w:t>询比价询价通知书</w:t>
    </w:r>
  </w:p>
  <w:p w14:paraId="0CC7CAFA">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1704">
    <w:pPr>
      <w:pStyle w:val="14"/>
      <w:rPr>
        <w:szCs w:val="28"/>
      </w:rPr>
    </w:pPr>
    <w:r>
      <w:rPr>
        <w:rFonts w:hint="eastAsia" w:ascii="宋体" w:hAnsi="宋体"/>
        <w:b/>
        <w:sz w:val="28"/>
        <w:szCs w:val="28"/>
      </w:rPr>
      <w:t>学院</w:t>
    </w:r>
    <w:r>
      <w:rPr>
        <w:rFonts w:hint="eastAsia" w:ascii="宋体" w:hAnsi="宋体"/>
        <w:b/>
        <w:sz w:val="28"/>
        <w:szCs w:val="28"/>
        <w:lang w:eastAsia="zh-CN"/>
      </w:rPr>
      <w:t>图书馆报告厅桌椅拆卸运输储存维修安装项目</w:t>
    </w:r>
    <w:r>
      <w:rPr>
        <w:rFonts w:hint="eastAsia" w:ascii="宋体" w:hAnsi="宋体"/>
        <w:b/>
        <w:sz w:val="28"/>
        <w:szCs w:val="28"/>
      </w:rPr>
      <w:t>询比价询价通知书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5F097"/>
    <w:multiLevelType w:val="singleLevel"/>
    <w:tmpl w:val="B0E5F097"/>
    <w:lvl w:ilvl="0" w:tentative="0">
      <w:start w:val="1"/>
      <w:numFmt w:val="bullet"/>
      <w:lvlText w:val=""/>
      <w:lvlJc w:val="left"/>
      <w:pPr>
        <w:ind w:left="420" w:hanging="420"/>
      </w:pPr>
      <w:rPr>
        <w:rFonts w:hint="default" w:ascii="Wingdings" w:hAnsi="Wingdings"/>
      </w:rPr>
    </w:lvl>
  </w:abstractNum>
  <w:abstractNum w:abstractNumId="1">
    <w:nsid w:val="0000000A"/>
    <w:multiLevelType w:val="singleLevel"/>
    <w:tmpl w:val="0000000A"/>
    <w:lvl w:ilvl="0" w:tentative="0">
      <w:start w:val="1"/>
      <w:numFmt w:val="decimal"/>
      <w:lvlText w:val="（%1）"/>
      <w:lvlJc w:val="left"/>
      <w:pPr>
        <w:tabs>
          <w:tab w:val="left" w:pos="1080"/>
        </w:tabs>
        <w:ind w:left="1080" w:hanging="600"/>
      </w:pPr>
      <w:rPr>
        <w:rFonts w:hint="eastAsia"/>
      </w:rPr>
    </w:lvl>
  </w:abstractNum>
  <w:abstractNum w:abstractNumId="2">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10"/>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3270A42"/>
    <w:multiLevelType w:val="multilevel"/>
    <w:tmpl w:val="33270A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75"/>
    <w:rsid w:val="00011EE0"/>
    <w:rsid w:val="00014AA7"/>
    <w:rsid w:val="000318A4"/>
    <w:rsid w:val="00042102"/>
    <w:rsid w:val="000425E3"/>
    <w:rsid w:val="00051D73"/>
    <w:rsid w:val="000525AD"/>
    <w:rsid w:val="000530CF"/>
    <w:rsid w:val="00056E0A"/>
    <w:rsid w:val="0005709E"/>
    <w:rsid w:val="0005740C"/>
    <w:rsid w:val="0006121D"/>
    <w:rsid w:val="00061B79"/>
    <w:rsid w:val="00061D72"/>
    <w:rsid w:val="00062200"/>
    <w:rsid w:val="000633E6"/>
    <w:rsid w:val="00064301"/>
    <w:rsid w:val="00071279"/>
    <w:rsid w:val="00076A55"/>
    <w:rsid w:val="0007764A"/>
    <w:rsid w:val="00080840"/>
    <w:rsid w:val="000925AE"/>
    <w:rsid w:val="000967F6"/>
    <w:rsid w:val="0009692C"/>
    <w:rsid w:val="000A29A4"/>
    <w:rsid w:val="000A4F75"/>
    <w:rsid w:val="000B09C6"/>
    <w:rsid w:val="000E6AC1"/>
    <w:rsid w:val="000E70D2"/>
    <w:rsid w:val="000F7CF9"/>
    <w:rsid w:val="001115D0"/>
    <w:rsid w:val="00112157"/>
    <w:rsid w:val="00113012"/>
    <w:rsid w:val="00114BB9"/>
    <w:rsid w:val="0012086F"/>
    <w:rsid w:val="001247D7"/>
    <w:rsid w:val="00125445"/>
    <w:rsid w:val="00126150"/>
    <w:rsid w:val="00131334"/>
    <w:rsid w:val="001405E2"/>
    <w:rsid w:val="00140E5B"/>
    <w:rsid w:val="00145854"/>
    <w:rsid w:val="00155E8B"/>
    <w:rsid w:val="0016145E"/>
    <w:rsid w:val="0016171A"/>
    <w:rsid w:val="00163A2E"/>
    <w:rsid w:val="00171BBD"/>
    <w:rsid w:val="00172A27"/>
    <w:rsid w:val="0018579C"/>
    <w:rsid w:val="001933FB"/>
    <w:rsid w:val="00195983"/>
    <w:rsid w:val="00195F5C"/>
    <w:rsid w:val="00196F2C"/>
    <w:rsid w:val="001A00AF"/>
    <w:rsid w:val="001A154C"/>
    <w:rsid w:val="001C11C8"/>
    <w:rsid w:val="001C1E7C"/>
    <w:rsid w:val="001C302C"/>
    <w:rsid w:val="001C3628"/>
    <w:rsid w:val="001C634C"/>
    <w:rsid w:val="001D2BA2"/>
    <w:rsid w:val="001E2980"/>
    <w:rsid w:val="001E3E95"/>
    <w:rsid w:val="001E4BFC"/>
    <w:rsid w:val="001E5668"/>
    <w:rsid w:val="001F70CD"/>
    <w:rsid w:val="001F787C"/>
    <w:rsid w:val="002009E5"/>
    <w:rsid w:val="00202DB9"/>
    <w:rsid w:val="00206C70"/>
    <w:rsid w:val="00210769"/>
    <w:rsid w:val="00216A6A"/>
    <w:rsid w:val="00217E65"/>
    <w:rsid w:val="00221905"/>
    <w:rsid w:val="002248D3"/>
    <w:rsid w:val="00225555"/>
    <w:rsid w:val="002315EC"/>
    <w:rsid w:val="00232028"/>
    <w:rsid w:val="0023263B"/>
    <w:rsid w:val="00234B72"/>
    <w:rsid w:val="00241E70"/>
    <w:rsid w:val="00243F88"/>
    <w:rsid w:val="00245B0C"/>
    <w:rsid w:val="002464EA"/>
    <w:rsid w:val="00247C28"/>
    <w:rsid w:val="00247DED"/>
    <w:rsid w:val="00251D05"/>
    <w:rsid w:val="00251E2D"/>
    <w:rsid w:val="0027520B"/>
    <w:rsid w:val="00276F0E"/>
    <w:rsid w:val="002823F6"/>
    <w:rsid w:val="00285437"/>
    <w:rsid w:val="002854D2"/>
    <w:rsid w:val="00290FC6"/>
    <w:rsid w:val="0029138F"/>
    <w:rsid w:val="002938BE"/>
    <w:rsid w:val="00294001"/>
    <w:rsid w:val="002A45DA"/>
    <w:rsid w:val="002A465A"/>
    <w:rsid w:val="002A614A"/>
    <w:rsid w:val="002B1FDB"/>
    <w:rsid w:val="002B776A"/>
    <w:rsid w:val="002B7CD6"/>
    <w:rsid w:val="002C1818"/>
    <w:rsid w:val="002C291A"/>
    <w:rsid w:val="002C5E15"/>
    <w:rsid w:val="002D0ECD"/>
    <w:rsid w:val="002E113A"/>
    <w:rsid w:val="002E6ED6"/>
    <w:rsid w:val="002F213A"/>
    <w:rsid w:val="002F438F"/>
    <w:rsid w:val="00301D47"/>
    <w:rsid w:val="00305A66"/>
    <w:rsid w:val="00317B47"/>
    <w:rsid w:val="00320429"/>
    <w:rsid w:val="00331CD3"/>
    <w:rsid w:val="00342286"/>
    <w:rsid w:val="0034350F"/>
    <w:rsid w:val="00343FFB"/>
    <w:rsid w:val="00346745"/>
    <w:rsid w:val="00360559"/>
    <w:rsid w:val="003702B1"/>
    <w:rsid w:val="00373B87"/>
    <w:rsid w:val="00374E9D"/>
    <w:rsid w:val="0037561C"/>
    <w:rsid w:val="00375764"/>
    <w:rsid w:val="00387564"/>
    <w:rsid w:val="003875D4"/>
    <w:rsid w:val="003915D7"/>
    <w:rsid w:val="003918C7"/>
    <w:rsid w:val="00391B2A"/>
    <w:rsid w:val="00393CB1"/>
    <w:rsid w:val="003959C4"/>
    <w:rsid w:val="00397335"/>
    <w:rsid w:val="003A0825"/>
    <w:rsid w:val="003B3232"/>
    <w:rsid w:val="003B5B37"/>
    <w:rsid w:val="003B5D1A"/>
    <w:rsid w:val="003C0DA4"/>
    <w:rsid w:val="003C0DF3"/>
    <w:rsid w:val="003C1BC7"/>
    <w:rsid w:val="003C1F52"/>
    <w:rsid w:val="003D4288"/>
    <w:rsid w:val="003D77F6"/>
    <w:rsid w:val="003F1C51"/>
    <w:rsid w:val="003F2E7A"/>
    <w:rsid w:val="003F4360"/>
    <w:rsid w:val="003F4AFD"/>
    <w:rsid w:val="003F5FDF"/>
    <w:rsid w:val="003F73AF"/>
    <w:rsid w:val="003F7D9E"/>
    <w:rsid w:val="00407756"/>
    <w:rsid w:val="00411A41"/>
    <w:rsid w:val="0041271F"/>
    <w:rsid w:val="00415086"/>
    <w:rsid w:val="00421E8E"/>
    <w:rsid w:val="0043319F"/>
    <w:rsid w:val="0044188E"/>
    <w:rsid w:val="004434F1"/>
    <w:rsid w:val="004454E2"/>
    <w:rsid w:val="00456489"/>
    <w:rsid w:val="004602D5"/>
    <w:rsid w:val="0046036C"/>
    <w:rsid w:val="004675BE"/>
    <w:rsid w:val="004734BB"/>
    <w:rsid w:val="004735AA"/>
    <w:rsid w:val="004751AF"/>
    <w:rsid w:val="00476B62"/>
    <w:rsid w:val="00486502"/>
    <w:rsid w:val="00492FD3"/>
    <w:rsid w:val="00493FE9"/>
    <w:rsid w:val="004A4DD5"/>
    <w:rsid w:val="004B0069"/>
    <w:rsid w:val="004B0272"/>
    <w:rsid w:val="004B0ADC"/>
    <w:rsid w:val="004B3699"/>
    <w:rsid w:val="004B5ABF"/>
    <w:rsid w:val="004B6ABB"/>
    <w:rsid w:val="004B7955"/>
    <w:rsid w:val="004C7955"/>
    <w:rsid w:val="004D5873"/>
    <w:rsid w:val="004D6756"/>
    <w:rsid w:val="004E08DF"/>
    <w:rsid w:val="004E1358"/>
    <w:rsid w:val="004E1D4B"/>
    <w:rsid w:val="004E3153"/>
    <w:rsid w:val="004E5DF7"/>
    <w:rsid w:val="004F11C1"/>
    <w:rsid w:val="004F626E"/>
    <w:rsid w:val="00502514"/>
    <w:rsid w:val="0050611D"/>
    <w:rsid w:val="005065E1"/>
    <w:rsid w:val="00507495"/>
    <w:rsid w:val="005077C8"/>
    <w:rsid w:val="00510D0F"/>
    <w:rsid w:val="005142A3"/>
    <w:rsid w:val="00516F37"/>
    <w:rsid w:val="00520A2C"/>
    <w:rsid w:val="00526FC2"/>
    <w:rsid w:val="005272E2"/>
    <w:rsid w:val="00531A9E"/>
    <w:rsid w:val="005337F2"/>
    <w:rsid w:val="005344E2"/>
    <w:rsid w:val="00547190"/>
    <w:rsid w:val="00547BD6"/>
    <w:rsid w:val="005531E5"/>
    <w:rsid w:val="0055709D"/>
    <w:rsid w:val="00564EC3"/>
    <w:rsid w:val="00572C5A"/>
    <w:rsid w:val="00574673"/>
    <w:rsid w:val="00577969"/>
    <w:rsid w:val="00581D60"/>
    <w:rsid w:val="00584CDD"/>
    <w:rsid w:val="00592A59"/>
    <w:rsid w:val="005959AB"/>
    <w:rsid w:val="005A0E13"/>
    <w:rsid w:val="005A29AB"/>
    <w:rsid w:val="005A486D"/>
    <w:rsid w:val="005A63D9"/>
    <w:rsid w:val="005B14E9"/>
    <w:rsid w:val="005B323D"/>
    <w:rsid w:val="005D4514"/>
    <w:rsid w:val="005D47E6"/>
    <w:rsid w:val="005E0CA1"/>
    <w:rsid w:val="005E34F9"/>
    <w:rsid w:val="005E6EF6"/>
    <w:rsid w:val="005F49B2"/>
    <w:rsid w:val="00603BFE"/>
    <w:rsid w:val="006166F8"/>
    <w:rsid w:val="0061737E"/>
    <w:rsid w:val="006256A1"/>
    <w:rsid w:val="006265DE"/>
    <w:rsid w:val="00636937"/>
    <w:rsid w:val="00641D8D"/>
    <w:rsid w:val="006429FF"/>
    <w:rsid w:val="006452D1"/>
    <w:rsid w:val="0065138D"/>
    <w:rsid w:val="006525CA"/>
    <w:rsid w:val="006561F9"/>
    <w:rsid w:val="00661267"/>
    <w:rsid w:val="00667238"/>
    <w:rsid w:val="00670E11"/>
    <w:rsid w:val="00670F9B"/>
    <w:rsid w:val="00671151"/>
    <w:rsid w:val="0068316A"/>
    <w:rsid w:val="00684621"/>
    <w:rsid w:val="00684C21"/>
    <w:rsid w:val="00694512"/>
    <w:rsid w:val="00694D92"/>
    <w:rsid w:val="006A2844"/>
    <w:rsid w:val="006A3825"/>
    <w:rsid w:val="006A42D7"/>
    <w:rsid w:val="006A4F1A"/>
    <w:rsid w:val="006B374D"/>
    <w:rsid w:val="006C0AE6"/>
    <w:rsid w:val="006C5332"/>
    <w:rsid w:val="006C7101"/>
    <w:rsid w:val="006C7FA2"/>
    <w:rsid w:val="006D505E"/>
    <w:rsid w:val="006D5C73"/>
    <w:rsid w:val="006E1CF8"/>
    <w:rsid w:val="006E4D9F"/>
    <w:rsid w:val="006E53E3"/>
    <w:rsid w:val="006F422D"/>
    <w:rsid w:val="00703A44"/>
    <w:rsid w:val="007074EB"/>
    <w:rsid w:val="00707AD4"/>
    <w:rsid w:val="0071354A"/>
    <w:rsid w:val="00717953"/>
    <w:rsid w:val="00717EC2"/>
    <w:rsid w:val="007201C8"/>
    <w:rsid w:val="00732595"/>
    <w:rsid w:val="00740623"/>
    <w:rsid w:val="00743A84"/>
    <w:rsid w:val="007459C2"/>
    <w:rsid w:val="00746017"/>
    <w:rsid w:val="00751E06"/>
    <w:rsid w:val="00753394"/>
    <w:rsid w:val="007534CD"/>
    <w:rsid w:val="00754955"/>
    <w:rsid w:val="00754A59"/>
    <w:rsid w:val="00754C84"/>
    <w:rsid w:val="00755B66"/>
    <w:rsid w:val="0075788C"/>
    <w:rsid w:val="00775000"/>
    <w:rsid w:val="0077697C"/>
    <w:rsid w:val="00776A6F"/>
    <w:rsid w:val="00776C56"/>
    <w:rsid w:val="00777E7D"/>
    <w:rsid w:val="0078169E"/>
    <w:rsid w:val="00782D83"/>
    <w:rsid w:val="00784AC3"/>
    <w:rsid w:val="00786C60"/>
    <w:rsid w:val="0079058E"/>
    <w:rsid w:val="00791F1E"/>
    <w:rsid w:val="0079246E"/>
    <w:rsid w:val="00793FEE"/>
    <w:rsid w:val="007970F7"/>
    <w:rsid w:val="007A0E7E"/>
    <w:rsid w:val="007A1613"/>
    <w:rsid w:val="007A45A1"/>
    <w:rsid w:val="007A5861"/>
    <w:rsid w:val="007A5F85"/>
    <w:rsid w:val="007A6566"/>
    <w:rsid w:val="007B5EE0"/>
    <w:rsid w:val="007C0E08"/>
    <w:rsid w:val="007C7453"/>
    <w:rsid w:val="007C7485"/>
    <w:rsid w:val="007C76AF"/>
    <w:rsid w:val="007D0D25"/>
    <w:rsid w:val="007D624C"/>
    <w:rsid w:val="007D64EF"/>
    <w:rsid w:val="007E045C"/>
    <w:rsid w:val="007E184F"/>
    <w:rsid w:val="007E29C2"/>
    <w:rsid w:val="007F571B"/>
    <w:rsid w:val="007F6DA7"/>
    <w:rsid w:val="00800548"/>
    <w:rsid w:val="00806469"/>
    <w:rsid w:val="008066EE"/>
    <w:rsid w:val="00813A78"/>
    <w:rsid w:val="00820546"/>
    <w:rsid w:val="008273B3"/>
    <w:rsid w:val="00835330"/>
    <w:rsid w:val="008412BE"/>
    <w:rsid w:val="008419B3"/>
    <w:rsid w:val="008472DF"/>
    <w:rsid w:val="00850059"/>
    <w:rsid w:val="00862C1A"/>
    <w:rsid w:val="00867823"/>
    <w:rsid w:val="00870183"/>
    <w:rsid w:val="0087366C"/>
    <w:rsid w:val="008736C3"/>
    <w:rsid w:val="00875367"/>
    <w:rsid w:val="00875F0C"/>
    <w:rsid w:val="0088127A"/>
    <w:rsid w:val="008859A2"/>
    <w:rsid w:val="008901EB"/>
    <w:rsid w:val="00890634"/>
    <w:rsid w:val="008924F8"/>
    <w:rsid w:val="0089533D"/>
    <w:rsid w:val="008A2E5F"/>
    <w:rsid w:val="008A2EBF"/>
    <w:rsid w:val="008A4CCC"/>
    <w:rsid w:val="008A584C"/>
    <w:rsid w:val="008A624F"/>
    <w:rsid w:val="008B0E61"/>
    <w:rsid w:val="008B1BED"/>
    <w:rsid w:val="008B2707"/>
    <w:rsid w:val="008B60DB"/>
    <w:rsid w:val="008B763D"/>
    <w:rsid w:val="008B7808"/>
    <w:rsid w:val="008C25B9"/>
    <w:rsid w:val="008C4667"/>
    <w:rsid w:val="008D0952"/>
    <w:rsid w:val="008D4787"/>
    <w:rsid w:val="008D5FA3"/>
    <w:rsid w:val="008D692B"/>
    <w:rsid w:val="008E23AC"/>
    <w:rsid w:val="008E2B76"/>
    <w:rsid w:val="008E7E7C"/>
    <w:rsid w:val="008F34EF"/>
    <w:rsid w:val="00902097"/>
    <w:rsid w:val="00902604"/>
    <w:rsid w:val="0090283E"/>
    <w:rsid w:val="00912D2D"/>
    <w:rsid w:val="00913A78"/>
    <w:rsid w:val="00914C82"/>
    <w:rsid w:val="00917502"/>
    <w:rsid w:val="00920032"/>
    <w:rsid w:val="00925953"/>
    <w:rsid w:val="00926D6A"/>
    <w:rsid w:val="00930A1E"/>
    <w:rsid w:val="00933176"/>
    <w:rsid w:val="00933AB2"/>
    <w:rsid w:val="009367B3"/>
    <w:rsid w:val="0093751C"/>
    <w:rsid w:val="00943F51"/>
    <w:rsid w:val="00944065"/>
    <w:rsid w:val="009443F1"/>
    <w:rsid w:val="0094764D"/>
    <w:rsid w:val="00952955"/>
    <w:rsid w:val="00953D2A"/>
    <w:rsid w:val="00955A84"/>
    <w:rsid w:val="00956C20"/>
    <w:rsid w:val="0096273A"/>
    <w:rsid w:val="00970C89"/>
    <w:rsid w:val="00971926"/>
    <w:rsid w:val="009720CE"/>
    <w:rsid w:val="009807B5"/>
    <w:rsid w:val="00981185"/>
    <w:rsid w:val="00982540"/>
    <w:rsid w:val="00984538"/>
    <w:rsid w:val="0098672B"/>
    <w:rsid w:val="009A3FDC"/>
    <w:rsid w:val="009A700F"/>
    <w:rsid w:val="009B4789"/>
    <w:rsid w:val="009C2E39"/>
    <w:rsid w:val="009D42E8"/>
    <w:rsid w:val="009E7AB0"/>
    <w:rsid w:val="009E7B41"/>
    <w:rsid w:val="009F6F5D"/>
    <w:rsid w:val="009F7F96"/>
    <w:rsid w:val="00A020EE"/>
    <w:rsid w:val="00A03781"/>
    <w:rsid w:val="00A06B8F"/>
    <w:rsid w:val="00A13A8C"/>
    <w:rsid w:val="00A14290"/>
    <w:rsid w:val="00A203A7"/>
    <w:rsid w:val="00A20E86"/>
    <w:rsid w:val="00A26B6E"/>
    <w:rsid w:val="00A3012C"/>
    <w:rsid w:val="00A30977"/>
    <w:rsid w:val="00A3113F"/>
    <w:rsid w:val="00A314F2"/>
    <w:rsid w:val="00A32E9D"/>
    <w:rsid w:val="00A34BFC"/>
    <w:rsid w:val="00A54F28"/>
    <w:rsid w:val="00A558A1"/>
    <w:rsid w:val="00A61FF5"/>
    <w:rsid w:val="00A62636"/>
    <w:rsid w:val="00A62EDD"/>
    <w:rsid w:val="00A70308"/>
    <w:rsid w:val="00A724E9"/>
    <w:rsid w:val="00A73640"/>
    <w:rsid w:val="00A74695"/>
    <w:rsid w:val="00A75B3C"/>
    <w:rsid w:val="00A761C8"/>
    <w:rsid w:val="00A82D75"/>
    <w:rsid w:val="00A8386B"/>
    <w:rsid w:val="00A85B94"/>
    <w:rsid w:val="00A8685D"/>
    <w:rsid w:val="00A91C62"/>
    <w:rsid w:val="00AA24EE"/>
    <w:rsid w:val="00AC10CD"/>
    <w:rsid w:val="00AC27A4"/>
    <w:rsid w:val="00AC67F0"/>
    <w:rsid w:val="00AC70D4"/>
    <w:rsid w:val="00AC72B8"/>
    <w:rsid w:val="00AE4D64"/>
    <w:rsid w:val="00AE6A35"/>
    <w:rsid w:val="00AF24FA"/>
    <w:rsid w:val="00AF4FF2"/>
    <w:rsid w:val="00B009D7"/>
    <w:rsid w:val="00B02CF4"/>
    <w:rsid w:val="00B20D6D"/>
    <w:rsid w:val="00B23325"/>
    <w:rsid w:val="00B24506"/>
    <w:rsid w:val="00B245EC"/>
    <w:rsid w:val="00B34A50"/>
    <w:rsid w:val="00B35C2F"/>
    <w:rsid w:val="00B35D34"/>
    <w:rsid w:val="00B374C0"/>
    <w:rsid w:val="00B41D3D"/>
    <w:rsid w:val="00B53818"/>
    <w:rsid w:val="00B617DB"/>
    <w:rsid w:val="00B72A50"/>
    <w:rsid w:val="00B8013B"/>
    <w:rsid w:val="00B8274A"/>
    <w:rsid w:val="00B90F5C"/>
    <w:rsid w:val="00B9252E"/>
    <w:rsid w:val="00B945E3"/>
    <w:rsid w:val="00BA4376"/>
    <w:rsid w:val="00BA5C22"/>
    <w:rsid w:val="00BB1CFA"/>
    <w:rsid w:val="00BB24D2"/>
    <w:rsid w:val="00BB274E"/>
    <w:rsid w:val="00BB45F5"/>
    <w:rsid w:val="00BB74F6"/>
    <w:rsid w:val="00BD6F78"/>
    <w:rsid w:val="00BE480B"/>
    <w:rsid w:val="00BE5979"/>
    <w:rsid w:val="00BE60FA"/>
    <w:rsid w:val="00BF2F93"/>
    <w:rsid w:val="00C0092E"/>
    <w:rsid w:val="00C00D05"/>
    <w:rsid w:val="00C0217A"/>
    <w:rsid w:val="00C054E0"/>
    <w:rsid w:val="00C05512"/>
    <w:rsid w:val="00C23586"/>
    <w:rsid w:val="00C25756"/>
    <w:rsid w:val="00C33201"/>
    <w:rsid w:val="00C3348B"/>
    <w:rsid w:val="00C336D9"/>
    <w:rsid w:val="00C36B80"/>
    <w:rsid w:val="00C37F4E"/>
    <w:rsid w:val="00C42704"/>
    <w:rsid w:val="00C42FBC"/>
    <w:rsid w:val="00C44286"/>
    <w:rsid w:val="00C46CEE"/>
    <w:rsid w:val="00C470C1"/>
    <w:rsid w:val="00C57DF8"/>
    <w:rsid w:val="00C60128"/>
    <w:rsid w:val="00C61C09"/>
    <w:rsid w:val="00C64315"/>
    <w:rsid w:val="00C64DA4"/>
    <w:rsid w:val="00C714A7"/>
    <w:rsid w:val="00C73899"/>
    <w:rsid w:val="00C73A02"/>
    <w:rsid w:val="00C8696F"/>
    <w:rsid w:val="00C90808"/>
    <w:rsid w:val="00C926D1"/>
    <w:rsid w:val="00C92AF3"/>
    <w:rsid w:val="00C92BB0"/>
    <w:rsid w:val="00C96CD1"/>
    <w:rsid w:val="00CA539D"/>
    <w:rsid w:val="00CB52B7"/>
    <w:rsid w:val="00CB560C"/>
    <w:rsid w:val="00CB607A"/>
    <w:rsid w:val="00CB7667"/>
    <w:rsid w:val="00CC2A5D"/>
    <w:rsid w:val="00CC3060"/>
    <w:rsid w:val="00CC625F"/>
    <w:rsid w:val="00CD3F5E"/>
    <w:rsid w:val="00CD4B2B"/>
    <w:rsid w:val="00CD56BF"/>
    <w:rsid w:val="00CD5A65"/>
    <w:rsid w:val="00CE6757"/>
    <w:rsid w:val="00CF0421"/>
    <w:rsid w:val="00CF10C5"/>
    <w:rsid w:val="00CF3D3B"/>
    <w:rsid w:val="00CF5524"/>
    <w:rsid w:val="00D0197E"/>
    <w:rsid w:val="00D05474"/>
    <w:rsid w:val="00D17FCF"/>
    <w:rsid w:val="00D24372"/>
    <w:rsid w:val="00D30F35"/>
    <w:rsid w:val="00D31387"/>
    <w:rsid w:val="00D4318B"/>
    <w:rsid w:val="00D433DC"/>
    <w:rsid w:val="00D45105"/>
    <w:rsid w:val="00D47110"/>
    <w:rsid w:val="00D519B9"/>
    <w:rsid w:val="00D57561"/>
    <w:rsid w:val="00D652AB"/>
    <w:rsid w:val="00D7272E"/>
    <w:rsid w:val="00D85FCD"/>
    <w:rsid w:val="00D87104"/>
    <w:rsid w:val="00D93499"/>
    <w:rsid w:val="00D942AA"/>
    <w:rsid w:val="00D95BD9"/>
    <w:rsid w:val="00DA344A"/>
    <w:rsid w:val="00DA65F5"/>
    <w:rsid w:val="00DA7DBC"/>
    <w:rsid w:val="00DB6004"/>
    <w:rsid w:val="00DB6BFA"/>
    <w:rsid w:val="00DB7ECF"/>
    <w:rsid w:val="00DC0B78"/>
    <w:rsid w:val="00DC2DB8"/>
    <w:rsid w:val="00DC4CD5"/>
    <w:rsid w:val="00DC5838"/>
    <w:rsid w:val="00DC7C85"/>
    <w:rsid w:val="00DD6A6E"/>
    <w:rsid w:val="00DD7F5D"/>
    <w:rsid w:val="00DE1AFA"/>
    <w:rsid w:val="00DE4B6E"/>
    <w:rsid w:val="00E13322"/>
    <w:rsid w:val="00E17D73"/>
    <w:rsid w:val="00E24053"/>
    <w:rsid w:val="00E32313"/>
    <w:rsid w:val="00E32646"/>
    <w:rsid w:val="00E34A9A"/>
    <w:rsid w:val="00E378E3"/>
    <w:rsid w:val="00E40008"/>
    <w:rsid w:val="00E40D4A"/>
    <w:rsid w:val="00E4369F"/>
    <w:rsid w:val="00E460F7"/>
    <w:rsid w:val="00E472BF"/>
    <w:rsid w:val="00E50EE4"/>
    <w:rsid w:val="00E54A1D"/>
    <w:rsid w:val="00E56B20"/>
    <w:rsid w:val="00E601C9"/>
    <w:rsid w:val="00E61D5F"/>
    <w:rsid w:val="00E64832"/>
    <w:rsid w:val="00E64EF7"/>
    <w:rsid w:val="00E66643"/>
    <w:rsid w:val="00E73A57"/>
    <w:rsid w:val="00E75E46"/>
    <w:rsid w:val="00E91228"/>
    <w:rsid w:val="00E9182A"/>
    <w:rsid w:val="00EA2A57"/>
    <w:rsid w:val="00EC0486"/>
    <w:rsid w:val="00EC2109"/>
    <w:rsid w:val="00ED4E51"/>
    <w:rsid w:val="00EE0617"/>
    <w:rsid w:val="00EE0D9C"/>
    <w:rsid w:val="00EE4116"/>
    <w:rsid w:val="00EE6036"/>
    <w:rsid w:val="00EF7263"/>
    <w:rsid w:val="00F22A47"/>
    <w:rsid w:val="00F238E2"/>
    <w:rsid w:val="00F27236"/>
    <w:rsid w:val="00F324BD"/>
    <w:rsid w:val="00F35972"/>
    <w:rsid w:val="00F37126"/>
    <w:rsid w:val="00F407DC"/>
    <w:rsid w:val="00F44AD9"/>
    <w:rsid w:val="00F45765"/>
    <w:rsid w:val="00F5650B"/>
    <w:rsid w:val="00F602D6"/>
    <w:rsid w:val="00F60A92"/>
    <w:rsid w:val="00F64EFD"/>
    <w:rsid w:val="00F65E6C"/>
    <w:rsid w:val="00F71240"/>
    <w:rsid w:val="00F8488A"/>
    <w:rsid w:val="00F90744"/>
    <w:rsid w:val="00F91E8F"/>
    <w:rsid w:val="00F969C4"/>
    <w:rsid w:val="00FA357B"/>
    <w:rsid w:val="00FA4399"/>
    <w:rsid w:val="00FB2D56"/>
    <w:rsid w:val="00FB32B0"/>
    <w:rsid w:val="00FB4669"/>
    <w:rsid w:val="00FB7C30"/>
    <w:rsid w:val="00FC24E2"/>
    <w:rsid w:val="00FC3572"/>
    <w:rsid w:val="00FC4CE7"/>
    <w:rsid w:val="00FD03EC"/>
    <w:rsid w:val="00FE067F"/>
    <w:rsid w:val="00FE3ACB"/>
    <w:rsid w:val="00FE50C6"/>
    <w:rsid w:val="00FE6E46"/>
    <w:rsid w:val="00FF05F8"/>
    <w:rsid w:val="045F59C4"/>
    <w:rsid w:val="04D01EF4"/>
    <w:rsid w:val="05C55C85"/>
    <w:rsid w:val="06287F27"/>
    <w:rsid w:val="089321CE"/>
    <w:rsid w:val="08FB7F36"/>
    <w:rsid w:val="0AB168B1"/>
    <w:rsid w:val="0AC534D9"/>
    <w:rsid w:val="0B8B5898"/>
    <w:rsid w:val="0B9E129E"/>
    <w:rsid w:val="0BDD4606"/>
    <w:rsid w:val="0C8D3125"/>
    <w:rsid w:val="0CFF4322"/>
    <w:rsid w:val="0DFC4600"/>
    <w:rsid w:val="0F162B4E"/>
    <w:rsid w:val="122E2D61"/>
    <w:rsid w:val="13F75BCF"/>
    <w:rsid w:val="14C67172"/>
    <w:rsid w:val="15701A64"/>
    <w:rsid w:val="174B28FE"/>
    <w:rsid w:val="17A47D89"/>
    <w:rsid w:val="17B51DF3"/>
    <w:rsid w:val="1CD8582C"/>
    <w:rsid w:val="1DB033C2"/>
    <w:rsid w:val="2187050F"/>
    <w:rsid w:val="221101DD"/>
    <w:rsid w:val="2351290F"/>
    <w:rsid w:val="2455654D"/>
    <w:rsid w:val="246A3B38"/>
    <w:rsid w:val="250047E6"/>
    <w:rsid w:val="258601E7"/>
    <w:rsid w:val="25902BD2"/>
    <w:rsid w:val="29B91541"/>
    <w:rsid w:val="2A9071E3"/>
    <w:rsid w:val="2C947B55"/>
    <w:rsid w:val="2D017EE1"/>
    <w:rsid w:val="2D3633AC"/>
    <w:rsid w:val="2DE64CDC"/>
    <w:rsid w:val="30276510"/>
    <w:rsid w:val="305B7C64"/>
    <w:rsid w:val="30BA20AC"/>
    <w:rsid w:val="31347D07"/>
    <w:rsid w:val="327D2883"/>
    <w:rsid w:val="331423DB"/>
    <w:rsid w:val="33E162AB"/>
    <w:rsid w:val="341E6110"/>
    <w:rsid w:val="35553C0F"/>
    <w:rsid w:val="35BF583C"/>
    <w:rsid w:val="35CB3612"/>
    <w:rsid w:val="361419D7"/>
    <w:rsid w:val="36227ADF"/>
    <w:rsid w:val="36720C43"/>
    <w:rsid w:val="36E77ACA"/>
    <w:rsid w:val="36EF39B0"/>
    <w:rsid w:val="37051507"/>
    <w:rsid w:val="373F7171"/>
    <w:rsid w:val="38102C49"/>
    <w:rsid w:val="38CC54BF"/>
    <w:rsid w:val="39517158"/>
    <w:rsid w:val="39725C4D"/>
    <w:rsid w:val="39DC787B"/>
    <w:rsid w:val="3B1267F2"/>
    <w:rsid w:val="3B2070C5"/>
    <w:rsid w:val="3B444F63"/>
    <w:rsid w:val="3CA55466"/>
    <w:rsid w:val="3CC21176"/>
    <w:rsid w:val="3EDA42A2"/>
    <w:rsid w:val="41CF3755"/>
    <w:rsid w:val="43477226"/>
    <w:rsid w:val="46202F6E"/>
    <w:rsid w:val="46641988"/>
    <w:rsid w:val="48123C4D"/>
    <w:rsid w:val="493A25D2"/>
    <w:rsid w:val="49720597"/>
    <w:rsid w:val="4AFA44F5"/>
    <w:rsid w:val="4BA95761"/>
    <w:rsid w:val="4D130AD4"/>
    <w:rsid w:val="4D9819DB"/>
    <w:rsid w:val="4F205FDF"/>
    <w:rsid w:val="4F2636EE"/>
    <w:rsid w:val="4FEE1EAF"/>
    <w:rsid w:val="50F0770F"/>
    <w:rsid w:val="50FB3AF2"/>
    <w:rsid w:val="51CA0A88"/>
    <w:rsid w:val="522558B9"/>
    <w:rsid w:val="562767E7"/>
    <w:rsid w:val="57CC75BB"/>
    <w:rsid w:val="58194A18"/>
    <w:rsid w:val="5B260E18"/>
    <w:rsid w:val="5B4D013B"/>
    <w:rsid w:val="5BA36C92"/>
    <w:rsid w:val="5BD71B75"/>
    <w:rsid w:val="5D5202C0"/>
    <w:rsid w:val="60C842D7"/>
    <w:rsid w:val="60CB525C"/>
    <w:rsid w:val="621D1385"/>
    <w:rsid w:val="62490F50"/>
    <w:rsid w:val="62872FB3"/>
    <w:rsid w:val="632C14B3"/>
    <w:rsid w:val="660237C8"/>
    <w:rsid w:val="66AF0CC3"/>
    <w:rsid w:val="66C258A6"/>
    <w:rsid w:val="670B31A1"/>
    <w:rsid w:val="67901777"/>
    <w:rsid w:val="68B01F7D"/>
    <w:rsid w:val="6B613886"/>
    <w:rsid w:val="6CB32CE3"/>
    <w:rsid w:val="70BC1904"/>
    <w:rsid w:val="7194316D"/>
    <w:rsid w:val="71B15694"/>
    <w:rsid w:val="72AE42B2"/>
    <w:rsid w:val="74994160"/>
    <w:rsid w:val="75C62D11"/>
    <w:rsid w:val="76116EC2"/>
    <w:rsid w:val="78554193"/>
    <w:rsid w:val="78C511CC"/>
    <w:rsid w:val="7945168D"/>
    <w:rsid w:val="7A17105F"/>
    <w:rsid w:val="7A632001"/>
    <w:rsid w:val="7A7534CA"/>
    <w:rsid w:val="7ABA1B5E"/>
    <w:rsid w:val="7B001259"/>
    <w:rsid w:val="7BB6379E"/>
    <w:rsid w:val="7E200A31"/>
    <w:rsid w:val="7EFD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jc w:val="center"/>
      <w:textAlignment w:val="baseline"/>
      <w:outlineLvl w:val="0"/>
    </w:pPr>
    <w:rPr>
      <w:rFonts w:ascii="宋体"/>
      <w:bCs/>
      <w:kern w:val="0"/>
      <w:sz w:val="3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29"/>
    <w:qFormat/>
    <w:uiPriority w:val="0"/>
    <w:pPr>
      <w:keepNext/>
      <w:keepLines/>
      <w:spacing w:before="280" w:after="290" w:line="376" w:lineRule="auto"/>
      <w:outlineLvl w:val="3"/>
    </w:pPr>
    <w:rPr>
      <w:rFonts w:ascii="Cambria" w:hAnsi="Cambria" w:cs="黑体"/>
      <w:b/>
      <w:bCs/>
      <w:sz w:val="28"/>
      <w:szCs w:val="28"/>
    </w:rPr>
  </w:style>
  <w:style w:type="paragraph" w:styleId="6">
    <w:name w:val="heading 5"/>
    <w:basedOn w:val="1"/>
    <w:next w:val="1"/>
    <w:link w:val="28"/>
    <w:qFormat/>
    <w:uiPriority w:val="0"/>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7"/>
    <w:semiHidden/>
    <w:unhideWhenUsed/>
    <w:qFormat/>
    <w:uiPriority w:val="99"/>
    <w:rPr>
      <w:rFonts w:ascii="宋体"/>
      <w:sz w:val="18"/>
      <w:szCs w:val="18"/>
    </w:rPr>
  </w:style>
  <w:style w:type="paragraph" w:styleId="8">
    <w:name w:val="annotation text"/>
    <w:basedOn w:val="1"/>
    <w:link w:val="49"/>
    <w:qFormat/>
    <w:uiPriority w:val="0"/>
    <w:pPr>
      <w:jc w:val="left"/>
    </w:pPr>
  </w:style>
  <w:style w:type="paragraph" w:styleId="9">
    <w:name w:val="Body Text"/>
    <w:basedOn w:val="1"/>
    <w:qFormat/>
    <w:uiPriority w:val="0"/>
    <w:pPr>
      <w:spacing w:after="120"/>
    </w:pPr>
  </w:style>
  <w:style w:type="paragraph" w:styleId="10">
    <w:name w:val="toc 3"/>
    <w:basedOn w:val="1"/>
    <w:next w:val="1"/>
    <w:qFormat/>
    <w:uiPriority w:val="0"/>
    <w:pPr>
      <w:numPr>
        <w:ilvl w:val="2"/>
        <w:numId w:val="1"/>
      </w:numPr>
      <w:tabs>
        <w:tab w:val="left" w:pos="425"/>
        <w:tab w:val="clear" w:pos="1418"/>
      </w:tabs>
    </w:pPr>
    <w:rPr>
      <w:szCs w:val="20"/>
    </w:rPr>
  </w:style>
  <w:style w:type="paragraph" w:styleId="11">
    <w:name w:val="Plain Text"/>
    <w:basedOn w:val="1"/>
    <w:qFormat/>
    <w:uiPriority w:val="0"/>
    <w:rPr>
      <w:rFonts w:ascii="宋体" w:hAnsi="Courier New"/>
      <w:szCs w:val="20"/>
    </w:rPr>
  </w:style>
  <w:style w:type="paragraph" w:styleId="12">
    <w:name w:val="Balloon Text"/>
    <w:basedOn w:val="1"/>
    <w:link w:val="24"/>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宋体" w:hAnsi="宋体" w:eastAsiaTheme="majorEastAsia" w:cstheme="majorBidi"/>
      <w:kern w:val="0"/>
      <w:sz w:val="22"/>
      <w:szCs w:val="22"/>
      <w:lang w:eastAsia="en-US" w:bidi="en-US"/>
    </w:rPr>
  </w:style>
  <w:style w:type="paragraph" w:styleId="16">
    <w:name w:val="annotation subject"/>
    <w:basedOn w:val="8"/>
    <w:next w:val="8"/>
    <w:link w:val="50"/>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纯文本 Char"/>
    <w:link w:val="23"/>
    <w:qFormat/>
    <w:uiPriority w:val="0"/>
    <w:rPr>
      <w:rFonts w:ascii="宋体" w:hAnsi="Courier New" w:eastAsia="宋体"/>
      <w:kern w:val="2"/>
      <w:sz w:val="21"/>
      <w:szCs w:val="21"/>
      <w:lang w:val="en-US" w:eastAsia="zh-CN"/>
    </w:rPr>
  </w:style>
  <w:style w:type="paragraph" w:customStyle="1" w:styleId="23">
    <w:name w:val="纯文本1"/>
    <w:basedOn w:val="1"/>
    <w:link w:val="22"/>
    <w:qFormat/>
    <w:uiPriority w:val="0"/>
    <w:rPr>
      <w:rFonts w:ascii="宋体" w:hAnsi="Courier New"/>
      <w:szCs w:val="21"/>
    </w:rPr>
  </w:style>
  <w:style w:type="character" w:customStyle="1" w:styleId="24">
    <w:name w:val="批注框文本 Char"/>
    <w:basedOn w:val="19"/>
    <w:link w:val="12"/>
    <w:qFormat/>
    <w:uiPriority w:val="0"/>
    <w:rPr>
      <w:kern w:val="2"/>
      <w:sz w:val="18"/>
      <w:szCs w:val="18"/>
    </w:rPr>
  </w:style>
  <w:style w:type="character" w:customStyle="1" w:styleId="25">
    <w:name w:val="页脚 Char"/>
    <w:basedOn w:val="19"/>
    <w:link w:val="13"/>
    <w:qFormat/>
    <w:uiPriority w:val="0"/>
    <w:rPr>
      <w:kern w:val="2"/>
      <w:sz w:val="18"/>
      <w:szCs w:val="18"/>
    </w:rPr>
  </w:style>
  <w:style w:type="character" w:customStyle="1" w:styleId="26">
    <w:name w:val="页眉 Char"/>
    <w:basedOn w:val="19"/>
    <w:link w:val="14"/>
    <w:qFormat/>
    <w:uiPriority w:val="99"/>
    <w:rPr>
      <w:kern w:val="2"/>
      <w:sz w:val="18"/>
      <w:szCs w:val="18"/>
    </w:rPr>
  </w:style>
  <w:style w:type="character" w:customStyle="1" w:styleId="27">
    <w:name w:val="页码1"/>
    <w:basedOn w:val="19"/>
    <w:qFormat/>
    <w:uiPriority w:val="0"/>
  </w:style>
  <w:style w:type="character" w:customStyle="1" w:styleId="28">
    <w:name w:val="标题 5 Char"/>
    <w:basedOn w:val="19"/>
    <w:link w:val="6"/>
    <w:qFormat/>
    <w:uiPriority w:val="0"/>
    <w:rPr>
      <w:b/>
      <w:bCs/>
      <w:kern w:val="2"/>
      <w:sz w:val="28"/>
      <w:szCs w:val="28"/>
    </w:rPr>
  </w:style>
  <w:style w:type="character" w:customStyle="1" w:styleId="29">
    <w:name w:val="标题 4 Char"/>
    <w:basedOn w:val="19"/>
    <w:link w:val="5"/>
    <w:qFormat/>
    <w:uiPriority w:val="0"/>
    <w:rPr>
      <w:rFonts w:ascii="Cambria" w:hAnsi="Cambria" w:eastAsia="宋体" w:cs="黑体"/>
      <w:b/>
      <w:bCs/>
      <w:kern w:val="2"/>
      <w:sz w:val="28"/>
      <w:szCs w:val="28"/>
    </w:rPr>
  </w:style>
  <w:style w:type="character" w:customStyle="1" w:styleId="30">
    <w:name w:val="正文文本缩进 3 Char"/>
    <w:basedOn w:val="19"/>
    <w:link w:val="31"/>
    <w:qFormat/>
    <w:uiPriority w:val="0"/>
    <w:rPr>
      <w:kern w:val="2"/>
      <w:sz w:val="16"/>
      <w:szCs w:val="16"/>
    </w:rPr>
  </w:style>
  <w:style w:type="paragraph" w:customStyle="1" w:styleId="31">
    <w:name w:val="正文文本缩进 31"/>
    <w:basedOn w:val="1"/>
    <w:link w:val="30"/>
    <w:qFormat/>
    <w:uiPriority w:val="0"/>
    <w:pPr>
      <w:spacing w:after="120"/>
      <w:ind w:left="420" w:leftChars="200"/>
    </w:pPr>
    <w:rPr>
      <w:sz w:val="16"/>
      <w:szCs w:val="16"/>
    </w:rPr>
  </w:style>
  <w:style w:type="paragraph" w:customStyle="1" w:styleId="32">
    <w:name w:val="日期1"/>
    <w:basedOn w:val="1"/>
    <w:next w:val="1"/>
    <w:qFormat/>
    <w:uiPriority w:val="0"/>
    <w:pPr>
      <w:ind w:left="100" w:leftChars="2500"/>
    </w:pPr>
    <w:rPr>
      <w:rFonts w:eastAsia="仿宋_GB2312"/>
      <w:sz w:val="32"/>
    </w:rPr>
  </w:style>
  <w:style w:type="paragraph" w:customStyle="1" w:styleId="33">
    <w:name w:val="正文文本缩进 21"/>
    <w:basedOn w:val="1"/>
    <w:qFormat/>
    <w:uiPriority w:val="0"/>
    <w:pPr>
      <w:spacing w:line="540" w:lineRule="atLeast"/>
      <w:ind w:firstLine="538" w:firstLineChars="168"/>
    </w:pPr>
    <w:rPr>
      <w:rFonts w:ascii="仿宋_GB2312" w:hAnsi="宋体" w:eastAsia="仿宋_GB2312"/>
      <w:sz w:val="32"/>
    </w:rPr>
  </w:style>
  <w:style w:type="paragraph" w:customStyle="1" w:styleId="34">
    <w:name w:val="文档结构图1"/>
    <w:basedOn w:val="1"/>
    <w:qFormat/>
    <w:uiPriority w:val="0"/>
    <w:pPr>
      <w:shd w:val="clear" w:color="auto" w:fill="000080"/>
    </w:pPr>
  </w:style>
  <w:style w:type="paragraph" w:customStyle="1" w:styleId="35">
    <w:name w:val="文本"/>
    <w:basedOn w:val="1"/>
    <w:qFormat/>
    <w:uiPriority w:val="0"/>
    <w:pPr>
      <w:adjustRightInd w:val="0"/>
      <w:spacing w:line="360" w:lineRule="auto"/>
      <w:jc w:val="center"/>
    </w:pPr>
    <w:rPr>
      <w:rFonts w:ascii="宋体" w:hAnsi="Wingdings"/>
      <w:sz w:val="24"/>
      <w:szCs w:val="20"/>
    </w:rPr>
  </w:style>
  <w:style w:type="paragraph" w:customStyle="1" w:styleId="36">
    <w:name w:val="正文文本缩进1"/>
    <w:basedOn w:val="1"/>
    <w:qFormat/>
    <w:uiPriority w:val="0"/>
    <w:pPr>
      <w:ind w:firstLine="720" w:firstLineChars="225"/>
    </w:pPr>
    <w:rPr>
      <w:rFonts w:eastAsia="仿宋_GB2312"/>
      <w:sz w:val="32"/>
    </w:rPr>
  </w:style>
  <w:style w:type="paragraph" w:customStyle="1" w:styleId="37">
    <w:name w:val="正文缩进1"/>
    <w:basedOn w:val="1"/>
    <w:qFormat/>
    <w:uiPriority w:val="0"/>
    <w:pPr>
      <w:ind w:firstLine="420"/>
    </w:pPr>
    <w:rPr>
      <w:sz w:val="28"/>
      <w:szCs w:val="20"/>
    </w:rPr>
  </w:style>
  <w:style w:type="paragraph" w:customStyle="1" w:styleId="38">
    <w:name w:val="正文首行缩进1"/>
    <w:basedOn w:val="9"/>
    <w:qFormat/>
    <w:uiPriority w:val="0"/>
    <w:pPr>
      <w:ind w:firstLine="420" w:firstLineChars="100"/>
    </w:pPr>
  </w:style>
  <w:style w:type="paragraph" w:customStyle="1" w:styleId="39">
    <w:name w:val="列表1"/>
    <w:basedOn w:val="1"/>
    <w:qFormat/>
    <w:uiPriority w:val="0"/>
    <w:pPr>
      <w:ind w:left="420" w:hanging="420"/>
    </w:pPr>
    <w:rPr>
      <w:sz w:val="28"/>
      <w:szCs w:val="20"/>
    </w:rPr>
  </w:style>
  <w:style w:type="paragraph" w:customStyle="1" w:styleId="40">
    <w:name w:val="列表接续 21"/>
    <w:basedOn w:val="1"/>
    <w:qFormat/>
    <w:uiPriority w:val="0"/>
    <w:pPr>
      <w:spacing w:after="120"/>
      <w:ind w:left="840"/>
    </w:pPr>
    <w:rPr>
      <w:sz w:val="28"/>
      <w:szCs w:val="20"/>
    </w:rPr>
  </w:style>
  <w:style w:type="paragraph" w:customStyle="1" w:styleId="4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Char"/>
    <w:basedOn w:val="34"/>
    <w:qFormat/>
    <w:uiPriority w:val="0"/>
    <w:rPr>
      <w:rFonts w:ascii="Tahoma" w:hAnsi="Tahoma"/>
      <w:sz w:val="24"/>
    </w:rPr>
  </w:style>
  <w:style w:type="paragraph" w:styleId="43">
    <w:name w:val="List Paragraph"/>
    <w:basedOn w:val="1"/>
    <w:link w:val="44"/>
    <w:qFormat/>
    <w:uiPriority w:val="34"/>
    <w:pPr>
      <w:ind w:firstLine="420" w:firstLineChars="200"/>
    </w:pPr>
    <w:rPr>
      <w:rFonts w:asciiTheme="minorHAnsi" w:hAnsiTheme="minorHAnsi" w:eastAsiaTheme="minorEastAsia" w:cstheme="minorBidi"/>
      <w:szCs w:val="22"/>
    </w:rPr>
  </w:style>
  <w:style w:type="character" w:customStyle="1" w:styleId="44">
    <w:name w:val="列出段落 Char"/>
    <w:link w:val="43"/>
    <w:qFormat/>
    <w:locked/>
    <w:uiPriority w:val="34"/>
    <w:rPr>
      <w:rFonts w:asciiTheme="minorHAnsi" w:hAnsiTheme="minorHAnsi" w:eastAsiaTheme="minorEastAsia" w:cstheme="minorBidi"/>
      <w:kern w:val="2"/>
      <w:sz w:val="21"/>
      <w:szCs w:val="22"/>
    </w:rPr>
  </w:style>
  <w:style w:type="paragraph" w:customStyle="1" w:styleId="45">
    <w:name w:val="列出段落1"/>
    <w:basedOn w:val="1"/>
    <w:qFormat/>
    <w:uiPriority w:val="99"/>
    <w:pPr>
      <w:ind w:firstLine="420" w:firstLineChars="200"/>
    </w:pPr>
    <w:rPr>
      <w:rFonts w:ascii="Calibri" w:hAnsi="Calibri" w:cs="黑体"/>
      <w:szCs w:val="22"/>
    </w:rPr>
  </w:style>
  <w:style w:type="paragraph" w:customStyle="1" w:styleId="4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7">
    <w:name w:val="文档结构图 Char"/>
    <w:basedOn w:val="19"/>
    <w:link w:val="7"/>
    <w:semiHidden/>
    <w:qFormat/>
    <w:uiPriority w:val="99"/>
    <w:rPr>
      <w:rFonts w:ascii="宋体"/>
      <w:kern w:val="2"/>
      <w:sz w:val="18"/>
      <w:szCs w:val="18"/>
    </w:rPr>
  </w:style>
  <w:style w:type="character" w:customStyle="1" w:styleId="48">
    <w:name w:val="HTML 预设格式 Char"/>
    <w:basedOn w:val="19"/>
    <w:link w:val="15"/>
    <w:qFormat/>
    <w:uiPriority w:val="99"/>
    <w:rPr>
      <w:rFonts w:ascii="宋体" w:hAnsi="宋体" w:eastAsiaTheme="majorEastAsia" w:cstheme="majorBidi"/>
      <w:sz w:val="22"/>
      <w:szCs w:val="22"/>
      <w:lang w:eastAsia="en-US" w:bidi="en-US"/>
    </w:rPr>
  </w:style>
  <w:style w:type="character" w:customStyle="1" w:styleId="49">
    <w:name w:val="批注文字 Char"/>
    <w:basedOn w:val="19"/>
    <w:link w:val="8"/>
    <w:qFormat/>
    <w:uiPriority w:val="0"/>
    <w:rPr>
      <w:kern w:val="2"/>
      <w:sz w:val="21"/>
      <w:szCs w:val="24"/>
    </w:rPr>
  </w:style>
  <w:style w:type="character" w:customStyle="1" w:styleId="50">
    <w:name w:val="批注主题 Char"/>
    <w:basedOn w:val="49"/>
    <w:link w:val="16"/>
    <w:semiHidden/>
    <w:qFormat/>
    <w:uiPriority w:val="99"/>
    <w:rPr>
      <w:b/>
      <w:bCs/>
      <w:kern w:val="2"/>
      <w:sz w:val="21"/>
      <w:szCs w:val="24"/>
    </w:rPr>
  </w:style>
  <w:style w:type="character" w:customStyle="1" w:styleId="51">
    <w:name w:val="font61"/>
    <w:basedOn w:val="19"/>
    <w:qFormat/>
    <w:uiPriority w:val="0"/>
    <w:rPr>
      <w:rFonts w:hint="eastAsia" w:ascii="仿宋" w:hAnsi="仿宋" w:eastAsia="仿宋" w:cs="仿宋"/>
      <w:color w:val="FF0000"/>
      <w:sz w:val="24"/>
      <w:szCs w:val="24"/>
      <w:u w:val="none"/>
    </w:rPr>
  </w:style>
  <w:style w:type="character" w:customStyle="1" w:styleId="52">
    <w:name w:val="font41"/>
    <w:basedOn w:val="1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ntTable" Target="fontTable.xml"/><Relationship Id="rId13" Type="http://schemas.openxmlformats.org/officeDocument/2006/relationships/image" Target="media/image6.jpeg"/><Relationship Id="rId3" Type="http://schemas.openxmlformats.org/officeDocument/2006/relationships/header" Target="header1.xml"/><Relationship Id="rId21" Type="http://schemas.openxmlformats.org/officeDocument/2006/relationships/customXml" Target="../customXml/item5.xml"/><Relationship Id="rId7" Type="http://schemas.openxmlformats.org/officeDocument/2006/relationships/theme" Target="theme/theme1.xml"/><Relationship Id="rId17" Type="http://schemas.openxmlformats.org/officeDocument/2006/relationships/customXml" Target="../customXml/item2.xm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numbering" Target="numbering.xml"/><Relationship Id="rId20" Type="http://schemas.openxmlformats.org/officeDocument/2006/relationships/customXml" Target="../customXml/item4.xml"/><Relationship Id="rId6" Type="http://schemas.openxmlformats.org/officeDocument/2006/relationships/footer" Target="footer2.xml"/><Relationship Id="rId11" Type="http://schemas.openxmlformats.org/officeDocument/2006/relationships/image" Target="media/image4.jpeg"/><Relationship Id="rId1" Type="http://schemas.openxmlformats.org/officeDocument/2006/relationships/styles" Target="styles.xml"/><Relationship Id="rId5" Type="http://schemas.openxmlformats.org/officeDocument/2006/relationships/footer" Target="footer1.xml"/><Relationship Id="rId15" Type="http://schemas.openxmlformats.org/officeDocument/2006/relationships/customXml" Target="../customXml/item1.xml"/><Relationship Id="rId10" Type="http://schemas.openxmlformats.org/officeDocument/2006/relationships/image" Target="media/image3.jpeg"/><Relationship Id="rId19" Type="http://schemas.openxmlformats.org/officeDocument/2006/relationships/customXml" Target="../customXml/item3.xml"/><Relationship Id="rId9" Type="http://schemas.openxmlformats.org/officeDocument/2006/relationships/image" Target="media/image2.jpeg"/><Relationship Id="rId4" Type="http://schemas.openxmlformats.org/officeDocument/2006/relationships/header" Target="header2.xml"/><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CA6B1A-D630-41A3-B222-CB8073F8A4CC}"/>
</file>

<file path=customXml/itemProps2.xml><?xml version="1.0" encoding="utf-8"?>
<ds:datastoreItem xmlns:ds="http://schemas.openxmlformats.org/officeDocument/2006/customXml" ds:itemID="{A62466F3-DDEE-452F-879B-34A7E85B46AC}"/>
</file>

<file path=customXml/itemProps3.xml><?xml version="1.0" encoding="utf-8"?>
<ds:datastoreItem xmlns:ds="http://schemas.openxmlformats.org/officeDocument/2006/customXml" ds:itemID="{306D8D86-E124-46D4-A82D-3B5E71CABE56}"/>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F0430F9C-B05E-469C-9C0A-1848212258DA}"/>
</file>

<file path=docProps/app.xml><?xml version="1.0" encoding="utf-8"?>
<Properties xmlns="http://schemas.openxmlformats.org/officeDocument/2006/extended-properties" xmlns:vt="http://schemas.openxmlformats.org/officeDocument/2006/docPropsVTypes">
  <Template>Normal</Template>
  <Company>Microsoft</Company>
  <Pages>14</Pages>
  <Words>778</Words>
  <Characters>4436</Characters>
  <Lines>36</Lines>
  <Paragraphs>10</Paragraphs>
  <TotalTime>5</TotalTime>
  <ScaleCrop>false</ScaleCrop>
  <LinksUpToDate>false</LinksUpToDate>
  <CharactersWithSpaces>5204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Billgates</dc:creator>
  <cp:lastModifiedBy>王超</cp:lastModifiedBy>
  <cp:revision>189</cp:revision>
  <cp:lastPrinted>2024-07-02T03:38:00Z</cp:lastPrinted>
  <dcterms:created xsi:type="dcterms:W3CDTF">2018-06-12T06:59:00Z</dcterms:created>
  <dcterms:modified xsi:type="dcterms:W3CDTF">2025-07-30T06:47:16Z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76A45BD541664388B16176807F2B3FE8_13</vt:lpwstr>
  </property>
  <property fmtid="{D5CDD505-2E9C-101B-9397-08002B2CF9AE}" pid="4" name="ContentTypeId">
    <vt:lpwstr>0x010100255124756D5EAA40BA9C63BB3DFACBF3</vt:lpwstr>
  </property>
</Properties>
</file>