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71486C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71486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综合楼南门雨棚提升维修工程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71486C" w:rsidRDefault="004967CC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本工程</w:t>
      </w:r>
      <w:r w:rsidR="0071486C">
        <w:rPr>
          <w:rFonts w:ascii="仿宋_GB2312" w:eastAsia="仿宋_GB2312"/>
          <w:b/>
          <w:sz w:val="24"/>
          <w:szCs w:val="32"/>
          <w:shd w:val="clear" w:color="auto" w:fill="FFFFFF"/>
        </w:rPr>
        <w:t>包含如下几项：</w:t>
      </w:r>
      <w:bookmarkStart w:id="2" w:name="_GoBack"/>
      <w:bookmarkEnd w:id="2"/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雨棚制作以及提升安装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更换门楣以及门口14个柱子石材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旋转门以及两边消防门的更换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综合楼入口</w:t>
      </w:r>
      <w:proofErr w:type="gramStart"/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步梯整体</w:t>
      </w:r>
      <w:proofErr w:type="gramEnd"/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外扩，踏步由六步变五步，踏步两边由斜边改为直角。</w:t>
      </w:r>
    </w:p>
    <w:p w:rsidR="0026589C" w:rsidRPr="00B76532" w:rsidRDefault="007738D2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学院综合楼南门雨棚提升维修工程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3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学院综合楼南门雨棚提升维修工程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综合楼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南侧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正门雨棚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维修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，包括但不限于：雨棚更新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抬高，踏步及坡道更新，图纸范围内裙房幕墙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更新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，电动平开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门及周边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幕墙玻璃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更新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，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配套灯光</w:t>
      </w:r>
      <w:r w:rsidR="0071486C" w:rsidRPr="0071486C">
        <w:rPr>
          <w:rFonts w:ascii="仿宋_GB2312" w:eastAsia="仿宋_GB2312"/>
          <w:b/>
          <w:sz w:val="24"/>
          <w:szCs w:val="32"/>
          <w:shd w:val="clear" w:color="auto" w:fill="FFFFFF"/>
        </w:rPr>
        <w:t>、照明、排水管线、监控施工等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297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71486C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2023年2月20日完成：图纸范围内裙房幕墙更新（含10个柱子），原雨棚铝板喷漆，破损玻璃更新，破损地面石材更新。如不能完成，需承担甲方损失。剩余工程量7-8月施工，已学院开</w:t>
      </w:r>
      <w:proofErr w:type="gramStart"/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工令</w:t>
      </w:r>
      <w:proofErr w:type="gramEnd"/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为起始时间。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3C43BF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6255DE">
        <w:rPr>
          <w:rFonts w:ascii="仿宋_GB2312" w:eastAsia="仿宋_GB2312" w:hAnsi="微软雅黑"/>
          <w:b/>
          <w:sz w:val="24"/>
          <w:szCs w:val="32"/>
        </w:rPr>
        <w:t>1</w:t>
      </w:r>
      <w:r w:rsidR="0071486C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9A" w:rsidRDefault="0070359A" w:rsidP="0026589C">
      <w:r>
        <w:separator/>
      </w:r>
    </w:p>
  </w:endnote>
  <w:endnote w:type="continuationSeparator" w:id="0">
    <w:p w:rsidR="0070359A" w:rsidRDefault="0070359A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9A" w:rsidRDefault="0070359A" w:rsidP="0026589C">
      <w:r>
        <w:separator/>
      </w:r>
    </w:p>
  </w:footnote>
  <w:footnote w:type="continuationSeparator" w:id="0">
    <w:p w:rsidR="0070359A" w:rsidRDefault="0070359A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3C43BF"/>
    <w:rsid w:val="0041708D"/>
    <w:rsid w:val="004944E2"/>
    <w:rsid w:val="004967CC"/>
    <w:rsid w:val="006255DE"/>
    <w:rsid w:val="0070359A"/>
    <w:rsid w:val="0071486C"/>
    <w:rsid w:val="00770A5A"/>
    <w:rsid w:val="007738D2"/>
    <w:rsid w:val="00881FA1"/>
    <w:rsid w:val="008C0BEF"/>
    <w:rsid w:val="00974092"/>
    <w:rsid w:val="00A072A5"/>
    <w:rsid w:val="00A45608"/>
    <w:rsid w:val="00B76532"/>
    <w:rsid w:val="00BF37C9"/>
    <w:rsid w:val="00DD1B27"/>
    <w:rsid w:val="00E77D64"/>
    <w:rsid w:val="00EC4005"/>
    <w:rsid w:val="00ED3034"/>
    <w:rsid w:val="00EF5A3C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006C13-6C5E-462A-B43C-19FD413A6B4F}"/>
</file>

<file path=customXml/itemProps2.xml><?xml version="1.0" encoding="utf-8"?>
<ds:datastoreItem xmlns:ds="http://schemas.openxmlformats.org/officeDocument/2006/customXml" ds:itemID="{DD104D88-5F88-4FED-9545-45B481025FAD}"/>
</file>

<file path=customXml/itemProps3.xml><?xml version="1.0" encoding="utf-8"?>
<ds:datastoreItem xmlns:ds="http://schemas.openxmlformats.org/officeDocument/2006/customXml" ds:itemID="{C4435DEA-B296-404D-A997-51BA989F78FB}"/>
</file>

<file path=customXml/itemProps4.xml><?xml version="1.0" encoding="utf-8"?>
<ds:datastoreItem xmlns:ds="http://schemas.openxmlformats.org/officeDocument/2006/customXml" ds:itemID="{26C0D7ED-2675-4529-946E-22552792A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202</Words>
  <Characters>1155</Characters>
  <Application>Microsoft Office Word</Application>
  <DocSecurity>0</DocSecurity>
  <Lines>9</Lines>
  <Paragraphs>2</Paragraphs>
  <ScaleCrop>false</ScaleCrop>
  <Company>Sinopec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20</cp:revision>
  <dcterms:created xsi:type="dcterms:W3CDTF">2022-05-18T07:05:00Z</dcterms:created>
  <dcterms:modified xsi:type="dcterms:W3CDTF">2023-01-11T09:56:00Z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